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696" w:rsidRDefault="00196696" w:rsidP="00B07C0C">
      <w:pPr>
        <w:pStyle w:val="TDC1"/>
      </w:pPr>
      <w:bookmarkStart w:id="0" w:name="_GoBack"/>
      <w:bookmarkEnd w:id="0"/>
    </w:p>
    <w:p w:rsidR="00196696" w:rsidRPr="001B4660" w:rsidRDefault="00196696" w:rsidP="00196696">
      <w:pPr>
        <w:rPr>
          <w:rFonts w:cs="Arial"/>
        </w:rPr>
      </w:pPr>
    </w:p>
    <w:p w:rsidR="00196696" w:rsidRPr="001B4660" w:rsidRDefault="00196696" w:rsidP="00196696">
      <w:pPr>
        <w:tabs>
          <w:tab w:val="left" w:pos="0"/>
        </w:tabs>
        <w:jc w:val="center"/>
        <w:rPr>
          <w:rFonts w:cs="Arial"/>
          <w:b/>
        </w:rPr>
      </w:pPr>
      <w:r w:rsidRPr="001B4660">
        <w:rPr>
          <w:rFonts w:cs="Arial"/>
          <w:b/>
        </w:rPr>
        <w:t>TÉRMINOS DE REFERENCIA</w:t>
      </w:r>
    </w:p>
    <w:p w:rsidR="00196696" w:rsidRPr="001B4660" w:rsidRDefault="00196696" w:rsidP="00196696">
      <w:pPr>
        <w:tabs>
          <w:tab w:val="left" w:pos="0"/>
        </w:tabs>
        <w:jc w:val="center"/>
        <w:rPr>
          <w:rFonts w:cs="Arial"/>
          <w:b/>
        </w:rPr>
      </w:pPr>
    </w:p>
    <w:p w:rsidR="00196696" w:rsidRPr="001B4660" w:rsidRDefault="00196696" w:rsidP="00196696">
      <w:pPr>
        <w:tabs>
          <w:tab w:val="left" w:pos="0"/>
        </w:tabs>
        <w:jc w:val="center"/>
        <w:rPr>
          <w:rFonts w:cs="Arial"/>
          <w:b/>
        </w:rPr>
      </w:pPr>
    </w:p>
    <w:p w:rsidR="00196696" w:rsidRPr="001B4660" w:rsidRDefault="00196696" w:rsidP="00196696">
      <w:pPr>
        <w:tabs>
          <w:tab w:val="left" w:pos="0"/>
        </w:tabs>
        <w:jc w:val="center"/>
        <w:rPr>
          <w:rFonts w:cs="Arial"/>
          <w:b/>
        </w:rPr>
      </w:pPr>
    </w:p>
    <w:p w:rsidR="00196696" w:rsidRPr="001B4660" w:rsidRDefault="00196696" w:rsidP="00196696">
      <w:pPr>
        <w:rPr>
          <w:rFonts w:cs="Arial"/>
        </w:rPr>
      </w:pPr>
    </w:p>
    <w:p w:rsidR="00196696" w:rsidRPr="001B4660" w:rsidRDefault="00196696" w:rsidP="00196696">
      <w:pPr>
        <w:rPr>
          <w:rFonts w:cs="Arial"/>
        </w:rPr>
      </w:pPr>
    </w:p>
    <w:p w:rsidR="00196696" w:rsidRPr="001B4660" w:rsidRDefault="00196696" w:rsidP="00DD2778">
      <w:pPr>
        <w:jc w:val="center"/>
        <w:rPr>
          <w:rFonts w:cs="Arial"/>
        </w:rPr>
      </w:pPr>
    </w:p>
    <w:p w:rsidR="00196696" w:rsidRPr="001B4660" w:rsidRDefault="00196696" w:rsidP="00196696">
      <w:pPr>
        <w:jc w:val="center"/>
        <w:rPr>
          <w:rFonts w:cs="Arial"/>
          <w:b/>
        </w:rPr>
      </w:pPr>
      <w:r w:rsidRPr="00196696">
        <w:rPr>
          <w:rFonts w:cs="Arial"/>
          <w:b/>
        </w:rPr>
        <w:t>SISTEMAS DE RECOLECCIÓN SELECTIVA</w:t>
      </w:r>
      <w:r>
        <w:rPr>
          <w:rFonts w:cs="Arial"/>
          <w:b/>
        </w:rPr>
        <w:t xml:space="preserve"> Y GESTIÓN AMBIENTAL DE RESIDUOS</w:t>
      </w:r>
    </w:p>
    <w:p w:rsidR="00196696" w:rsidRDefault="00196696" w:rsidP="00196696">
      <w:pPr>
        <w:jc w:val="center"/>
        <w:rPr>
          <w:rFonts w:cs="Arial"/>
          <w:b/>
        </w:rPr>
      </w:pPr>
    </w:p>
    <w:p w:rsidR="00196696" w:rsidRDefault="00196696" w:rsidP="00196696">
      <w:pPr>
        <w:jc w:val="center"/>
        <w:rPr>
          <w:rFonts w:cs="Arial"/>
          <w:b/>
        </w:rPr>
      </w:pPr>
    </w:p>
    <w:p w:rsidR="00196696" w:rsidRDefault="00196696" w:rsidP="00196696">
      <w:pPr>
        <w:jc w:val="center"/>
        <w:rPr>
          <w:rFonts w:cs="Arial"/>
          <w:b/>
        </w:rPr>
      </w:pPr>
    </w:p>
    <w:p w:rsidR="00196696" w:rsidRPr="001B4660" w:rsidRDefault="00196696" w:rsidP="00196696">
      <w:pPr>
        <w:jc w:val="center"/>
        <w:rPr>
          <w:rFonts w:cs="Arial"/>
          <w:b/>
        </w:rPr>
      </w:pPr>
    </w:p>
    <w:p w:rsidR="00196696" w:rsidRPr="001B4660" w:rsidRDefault="00196696" w:rsidP="00196696">
      <w:pPr>
        <w:jc w:val="center"/>
        <w:rPr>
          <w:rFonts w:cs="Arial"/>
          <w:b/>
        </w:rPr>
      </w:pPr>
    </w:p>
    <w:p w:rsidR="00196696" w:rsidRPr="001B4660" w:rsidRDefault="00196696" w:rsidP="00196696">
      <w:pPr>
        <w:jc w:val="center"/>
        <w:rPr>
          <w:rFonts w:cs="Arial"/>
          <w:b/>
        </w:rPr>
      </w:pPr>
    </w:p>
    <w:p w:rsidR="00196696" w:rsidRPr="001B4660" w:rsidRDefault="00196696" w:rsidP="00196696">
      <w:pPr>
        <w:tabs>
          <w:tab w:val="left" w:pos="0"/>
        </w:tabs>
        <w:jc w:val="center"/>
        <w:rPr>
          <w:rFonts w:cs="Arial"/>
          <w:b/>
        </w:rPr>
      </w:pPr>
      <w:r>
        <w:rPr>
          <w:rFonts w:cs="Arial"/>
          <w:b/>
        </w:rPr>
        <w:t>PILAS Y/O ACUMULADORES</w:t>
      </w:r>
    </w:p>
    <w:p w:rsidR="00196696" w:rsidRPr="001B4660" w:rsidRDefault="00196696" w:rsidP="00196696">
      <w:pPr>
        <w:jc w:val="center"/>
        <w:rPr>
          <w:rFonts w:cs="Arial"/>
          <w:b/>
        </w:rPr>
      </w:pPr>
      <w:r>
        <w:rPr>
          <w:rFonts w:cs="Arial"/>
          <w:b/>
        </w:rPr>
        <w:t>SRS</w:t>
      </w:r>
      <w:r w:rsidRPr="001B4660">
        <w:rPr>
          <w:rFonts w:cs="Arial"/>
          <w:b/>
        </w:rPr>
        <w:t>-TER-</w:t>
      </w:r>
      <w:r>
        <w:rPr>
          <w:rFonts w:cs="Arial"/>
          <w:b/>
        </w:rPr>
        <w:t>PI</w:t>
      </w:r>
      <w:r w:rsidRPr="001B4660">
        <w:rPr>
          <w:rFonts w:cs="Arial"/>
          <w:b/>
        </w:rPr>
        <w:t>-01</w:t>
      </w:r>
    </w:p>
    <w:p w:rsidR="00196696" w:rsidRPr="001B4660" w:rsidRDefault="00196696" w:rsidP="00196696">
      <w:pPr>
        <w:rPr>
          <w:rFonts w:cs="Arial"/>
        </w:rPr>
      </w:pPr>
    </w:p>
    <w:p w:rsidR="00196696" w:rsidRPr="001B4660" w:rsidRDefault="00196696" w:rsidP="00196696">
      <w:pPr>
        <w:rPr>
          <w:rFonts w:cs="Arial"/>
        </w:rPr>
      </w:pPr>
    </w:p>
    <w:p w:rsidR="00196696" w:rsidRPr="001B4660" w:rsidRDefault="00196696" w:rsidP="00196696">
      <w:pPr>
        <w:rPr>
          <w:rFonts w:cs="Arial"/>
        </w:rPr>
      </w:pPr>
    </w:p>
    <w:p w:rsidR="00196696" w:rsidRPr="001B4660" w:rsidRDefault="00196696" w:rsidP="00196696">
      <w:pPr>
        <w:rPr>
          <w:rFonts w:cs="Arial"/>
        </w:rPr>
      </w:pPr>
    </w:p>
    <w:p w:rsidR="00196696" w:rsidRPr="001B4660" w:rsidRDefault="00196696" w:rsidP="00196696">
      <w:pPr>
        <w:rPr>
          <w:rFonts w:cs="Arial"/>
        </w:rPr>
      </w:pPr>
    </w:p>
    <w:p w:rsidR="00196696" w:rsidRPr="001B4660" w:rsidRDefault="00196696" w:rsidP="00196696">
      <w:pPr>
        <w:rPr>
          <w:rFonts w:cs="Arial"/>
        </w:rPr>
      </w:pPr>
    </w:p>
    <w:p w:rsidR="00196696" w:rsidRPr="001B4660" w:rsidRDefault="00196696" w:rsidP="00196696">
      <w:pPr>
        <w:rPr>
          <w:rFonts w:cs="Arial"/>
        </w:rPr>
      </w:pPr>
    </w:p>
    <w:p w:rsidR="00196696" w:rsidRPr="001B4660" w:rsidRDefault="00196696" w:rsidP="00196696">
      <w:pPr>
        <w:rPr>
          <w:rFonts w:cs="Arial"/>
        </w:rPr>
      </w:pPr>
    </w:p>
    <w:p w:rsidR="00196696" w:rsidRPr="001B4660" w:rsidRDefault="00196696" w:rsidP="00196696">
      <w:pPr>
        <w:rPr>
          <w:rFonts w:cs="Arial"/>
        </w:rPr>
      </w:pPr>
    </w:p>
    <w:p w:rsidR="00196696" w:rsidRPr="001B4660" w:rsidRDefault="00196696" w:rsidP="00196696">
      <w:pPr>
        <w:tabs>
          <w:tab w:val="left" w:pos="0"/>
        </w:tabs>
        <w:jc w:val="center"/>
        <w:rPr>
          <w:rFonts w:cs="Arial"/>
          <w:b/>
        </w:rPr>
      </w:pPr>
      <w:r w:rsidRPr="001B4660">
        <w:rPr>
          <w:rFonts w:cs="Arial"/>
          <w:b/>
        </w:rPr>
        <w:t>BOGOT</w:t>
      </w:r>
      <w:r>
        <w:rPr>
          <w:rFonts w:cs="Arial"/>
          <w:b/>
        </w:rPr>
        <w:t>Á</w:t>
      </w:r>
      <w:r w:rsidRPr="001B4660">
        <w:rPr>
          <w:rFonts w:cs="Arial"/>
          <w:b/>
        </w:rPr>
        <w:t>, D.C.</w:t>
      </w:r>
    </w:p>
    <w:p w:rsidR="00196696" w:rsidRPr="001B4660" w:rsidRDefault="00196696" w:rsidP="00196696">
      <w:pPr>
        <w:tabs>
          <w:tab w:val="left" w:pos="0"/>
        </w:tabs>
        <w:jc w:val="center"/>
        <w:rPr>
          <w:rFonts w:cs="Arial"/>
          <w:b/>
        </w:rPr>
      </w:pPr>
      <w:r>
        <w:rPr>
          <w:rFonts w:cs="Arial"/>
          <w:b/>
        </w:rPr>
        <w:t>2012</w:t>
      </w:r>
    </w:p>
    <w:p w:rsidR="00196696" w:rsidRPr="001B4660" w:rsidRDefault="00196696" w:rsidP="00196696">
      <w:pPr>
        <w:rPr>
          <w:rFonts w:cs="Arial"/>
        </w:rPr>
      </w:pPr>
      <w:r w:rsidRPr="001B4660">
        <w:rPr>
          <w:rFonts w:cs="Arial"/>
        </w:rPr>
        <w:br w:type="page"/>
      </w:r>
    </w:p>
    <w:p w:rsidR="00FC3C4B" w:rsidRDefault="00FC3C4B" w:rsidP="00B07C0C">
      <w:pPr>
        <w:pStyle w:val="TDC1"/>
      </w:pPr>
      <w:r w:rsidRPr="00B07C0C">
        <w:lastRenderedPageBreak/>
        <w:t>TABLA DE CONTENIDO</w:t>
      </w:r>
    </w:p>
    <w:p w:rsidR="00B07C0C" w:rsidRPr="00B07C0C" w:rsidRDefault="00B07C0C" w:rsidP="00B07C0C"/>
    <w:p w:rsidR="00FC3C4B" w:rsidRPr="00B07C0C" w:rsidRDefault="00965AA2" w:rsidP="00B07C0C">
      <w:pPr>
        <w:pStyle w:val="TDC1"/>
      </w:pPr>
      <w:r w:rsidRPr="00B07C0C">
        <w:t>INTRODUCCIÓN……………………………………………………………………………………………......3</w:t>
      </w:r>
    </w:p>
    <w:p w:rsidR="00965AA2" w:rsidRDefault="001427B2" w:rsidP="00B1254E">
      <w:pPr>
        <w:pStyle w:val="TDC2"/>
        <w:rPr>
          <w:rFonts w:asciiTheme="minorHAnsi" w:eastAsiaTheme="minorEastAsia" w:hAnsiTheme="minorHAnsi" w:cstheme="minorBidi"/>
          <w:noProof/>
          <w:lang w:eastAsia="es-CO"/>
        </w:rPr>
      </w:pPr>
      <w:r w:rsidRPr="001974BD">
        <w:fldChar w:fldCharType="begin"/>
      </w:r>
      <w:r w:rsidR="00FC3C4B" w:rsidRPr="001974BD">
        <w:instrText xml:space="preserve"> TOC \h \z \t "Titulo Seccion,1,elemento sist,2,viñeta elemento,3" </w:instrText>
      </w:r>
      <w:r w:rsidRPr="001974BD">
        <w:fldChar w:fldCharType="separate"/>
      </w:r>
      <w:hyperlink w:anchor="_Toc333477390" w:history="1">
        <w:r w:rsidR="00965AA2" w:rsidRPr="00417EF3">
          <w:rPr>
            <w:rStyle w:val="Hipervnculo"/>
            <w:noProof/>
          </w:rPr>
          <w:t>1.</w:t>
        </w:r>
        <w:r w:rsidR="00965AA2">
          <w:rPr>
            <w:rFonts w:asciiTheme="minorHAnsi" w:eastAsiaTheme="minorEastAsia" w:hAnsiTheme="minorHAnsi" w:cstheme="minorBidi"/>
            <w:noProof/>
            <w:lang w:eastAsia="es-CO"/>
          </w:rPr>
          <w:tab/>
        </w:r>
        <w:r w:rsidR="00965AA2" w:rsidRPr="00417EF3">
          <w:rPr>
            <w:rStyle w:val="Hipervnculo"/>
            <w:noProof/>
          </w:rPr>
          <w:t>CARTA DE PRESENTACIÓN</w:t>
        </w:r>
        <w:r w:rsidR="00965AA2">
          <w:rPr>
            <w:noProof/>
            <w:webHidden/>
          </w:rPr>
          <w:tab/>
          <w:t>3</w:t>
        </w:r>
      </w:hyperlink>
    </w:p>
    <w:p w:rsidR="00965AA2" w:rsidRDefault="001971C7" w:rsidP="00B1254E">
      <w:pPr>
        <w:pStyle w:val="TDC2"/>
        <w:rPr>
          <w:rFonts w:asciiTheme="minorHAnsi" w:eastAsiaTheme="minorEastAsia" w:hAnsiTheme="minorHAnsi" w:cstheme="minorBidi"/>
          <w:noProof/>
          <w:lang w:eastAsia="es-CO"/>
        </w:rPr>
      </w:pPr>
      <w:hyperlink w:anchor="_Toc333477392" w:history="1">
        <w:r w:rsidR="00965AA2" w:rsidRPr="00417EF3">
          <w:rPr>
            <w:rStyle w:val="Hipervnculo"/>
            <w:noProof/>
          </w:rPr>
          <w:t>2.</w:t>
        </w:r>
        <w:r w:rsidR="00965AA2">
          <w:rPr>
            <w:rFonts w:asciiTheme="minorHAnsi" w:eastAsiaTheme="minorEastAsia" w:hAnsiTheme="minorHAnsi" w:cstheme="minorBidi"/>
            <w:noProof/>
            <w:lang w:eastAsia="es-CO"/>
          </w:rPr>
          <w:tab/>
        </w:r>
        <w:r w:rsidR="00965AA2" w:rsidRPr="00417EF3">
          <w:rPr>
            <w:rStyle w:val="Hipervnculo"/>
            <w:noProof/>
          </w:rPr>
          <w:t>IDENTIFICACIÓN DEL PRODUCTOR</w:t>
        </w:r>
        <w:r w:rsidR="00965AA2">
          <w:rPr>
            <w:noProof/>
            <w:webHidden/>
          </w:rPr>
          <w:tab/>
          <w:t>4</w:t>
        </w:r>
      </w:hyperlink>
    </w:p>
    <w:p w:rsidR="00965AA2" w:rsidRDefault="001971C7" w:rsidP="00B1254E">
      <w:pPr>
        <w:pStyle w:val="TDC2"/>
        <w:rPr>
          <w:rFonts w:asciiTheme="minorHAnsi" w:eastAsiaTheme="minorEastAsia" w:hAnsiTheme="minorHAnsi" w:cstheme="minorBidi"/>
          <w:noProof/>
          <w:lang w:eastAsia="es-CO"/>
        </w:rPr>
      </w:pPr>
      <w:hyperlink w:anchor="_Toc333477393" w:history="1">
        <w:r w:rsidR="00965AA2" w:rsidRPr="00417EF3">
          <w:rPr>
            <w:rStyle w:val="Hipervnculo"/>
            <w:noProof/>
          </w:rPr>
          <w:t>3.</w:t>
        </w:r>
        <w:r w:rsidR="00965AA2">
          <w:rPr>
            <w:rFonts w:asciiTheme="minorHAnsi" w:eastAsiaTheme="minorEastAsia" w:hAnsiTheme="minorHAnsi" w:cstheme="minorBidi"/>
            <w:noProof/>
            <w:lang w:eastAsia="es-CO"/>
          </w:rPr>
          <w:tab/>
        </w:r>
        <w:r w:rsidR="00965AA2" w:rsidRPr="00417EF3">
          <w:rPr>
            <w:rStyle w:val="Hipervnculo"/>
            <w:noProof/>
          </w:rPr>
          <w:t>IDENTIFICACIÓN DEL OPERADOR DEL SISTEMA</w:t>
        </w:r>
        <w:r w:rsidR="00965AA2">
          <w:rPr>
            <w:noProof/>
            <w:webHidden/>
          </w:rPr>
          <w:tab/>
          <w:t>4</w:t>
        </w:r>
      </w:hyperlink>
    </w:p>
    <w:p w:rsidR="00965AA2" w:rsidRDefault="001971C7" w:rsidP="00B1254E">
      <w:pPr>
        <w:pStyle w:val="TDC2"/>
        <w:rPr>
          <w:rFonts w:asciiTheme="minorHAnsi" w:eastAsiaTheme="minorEastAsia" w:hAnsiTheme="minorHAnsi" w:cstheme="minorBidi"/>
          <w:noProof/>
          <w:lang w:eastAsia="es-CO"/>
        </w:rPr>
      </w:pPr>
      <w:hyperlink w:anchor="_Toc333477394" w:history="1">
        <w:r w:rsidR="00965AA2" w:rsidRPr="00417EF3">
          <w:rPr>
            <w:rStyle w:val="Hipervnculo"/>
            <w:noProof/>
          </w:rPr>
          <w:t>4.</w:t>
        </w:r>
        <w:r w:rsidR="00965AA2">
          <w:rPr>
            <w:rFonts w:asciiTheme="minorHAnsi" w:eastAsiaTheme="minorEastAsia" w:hAnsiTheme="minorHAnsi" w:cstheme="minorBidi"/>
            <w:noProof/>
            <w:lang w:eastAsia="es-CO"/>
          </w:rPr>
          <w:tab/>
        </w:r>
        <w:r w:rsidR="00965AA2" w:rsidRPr="00417EF3">
          <w:rPr>
            <w:rStyle w:val="Hipervnculo"/>
            <w:noProof/>
          </w:rPr>
          <w:t>INFORMACIÓN ESPECIFICA SOBRE LOS PRODUCTOS</w:t>
        </w:r>
        <w:r w:rsidR="00965AA2">
          <w:rPr>
            <w:noProof/>
            <w:webHidden/>
          </w:rPr>
          <w:tab/>
          <w:t>5</w:t>
        </w:r>
      </w:hyperlink>
    </w:p>
    <w:p w:rsidR="00965AA2" w:rsidRDefault="001971C7" w:rsidP="00B1254E">
      <w:pPr>
        <w:pStyle w:val="TDC2"/>
        <w:rPr>
          <w:rFonts w:asciiTheme="minorHAnsi" w:eastAsiaTheme="minorEastAsia" w:hAnsiTheme="minorHAnsi" w:cstheme="minorBidi"/>
          <w:noProof/>
          <w:lang w:eastAsia="es-CO"/>
        </w:rPr>
      </w:pPr>
      <w:hyperlink w:anchor="_Toc333477395" w:history="1">
        <w:r w:rsidR="00965AA2" w:rsidRPr="00417EF3">
          <w:rPr>
            <w:rStyle w:val="Hipervnculo"/>
            <w:noProof/>
          </w:rPr>
          <w:t>5.</w:t>
        </w:r>
        <w:r w:rsidR="00965AA2">
          <w:rPr>
            <w:rFonts w:asciiTheme="minorHAnsi" w:eastAsiaTheme="minorEastAsia" w:hAnsiTheme="minorHAnsi" w:cstheme="minorBidi"/>
            <w:noProof/>
            <w:lang w:eastAsia="es-CO"/>
          </w:rPr>
          <w:tab/>
        </w:r>
        <w:r w:rsidR="00965AA2" w:rsidRPr="00417EF3">
          <w:rPr>
            <w:rStyle w:val="Hipervnculo"/>
            <w:noProof/>
          </w:rPr>
          <w:t>OTROS ACTORES Y NIVEL DE PARTICIPACIÓN</w:t>
        </w:r>
        <w:r w:rsidR="00965AA2">
          <w:rPr>
            <w:noProof/>
            <w:webHidden/>
          </w:rPr>
          <w:tab/>
        </w:r>
        <w:r w:rsidR="001427B2">
          <w:rPr>
            <w:noProof/>
            <w:webHidden/>
          </w:rPr>
          <w:fldChar w:fldCharType="begin"/>
        </w:r>
        <w:r w:rsidR="00965AA2">
          <w:rPr>
            <w:noProof/>
            <w:webHidden/>
          </w:rPr>
          <w:instrText xml:space="preserve"> PAGEREF _Toc333477395 \h </w:instrText>
        </w:r>
        <w:r w:rsidR="001427B2">
          <w:rPr>
            <w:noProof/>
            <w:webHidden/>
          </w:rPr>
        </w:r>
        <w:r w:rsidR="001427B2">
          <w:rPr>
            <w:noProof/>
            <w:webHidden/>
          </w:rPr>
          <w:fldChar w:fldCharType="separate"/>
        </w:r>
        <w:r w:rsidR="00965AA2">
          <w:rPr>
            <w:noProof/>
            <w:webHidden/>
          </w:rPr>
          <w:t>6</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396" w:history="1">
        <w:r w:rsidR="00965AA2" w:rsidRPr="00417EF3">
          <w:rPr>
            <w:rStyle w:val="Hipervnculo"/>
            <w:noProof/>
          </w:rPr>
          <w:t>6.</w:t>
        </w:r>
        <w:r w:rsidR="00965AA2">
          <w:rPr>
            <w:rFonts w:asciiTheme="minorHAnsi" w:eastAsiaTheme="minorEastAsia" w:hAnsiTheme="minorHAnsi" w:cstheme="minorBidi"/>
            <w:noProof/>
            <w:lang w:eastAsia="es-CO"/>
          </w:rPr>
          <w:tab/>
        </w:r>
        <w:r w:rsidR="00965AA2" w:rsidRPr="00417EF3">
          <w:rPr>
            <w:rStyle w:val="Hipervnculo"/>
            <w:noProof/>
          </w:rPr>
          <w:t>CUBRIMIENTO GEOGRÁFICO</w:t>
        </w:r>
        <w:r w:rsidR="00965AA2">
          <w:rPr>
            <w:noProof/>
            <w:webHidden/>
          </w:rPr>
          <w:tab/>
        </w:r>
        <w:r w:rsidR="001427B2">
          <w:rPr>
            <w:noProof/>
            <w:webHidden/>
          </w:rPr>
          <w:fldChar w:fldCharType="begin"/>
        </w:r>
        <w:r w:rsidR="00965AA2">
          <w:rPr>
            <w:noProof/>
            <w:webHidden/>
          </w:rPr>
          <w:instrText xml:space="preserve"> PAGEREF _Toc333477396 \h </w:instrText>
        </w:r>
        <w:r w:rsidR="001427B2">
          <w:rPr>
            <w:noProof/>
            <w:webHidden/>
          </w:rPr>
        </w:r>
        <w:r w:rsidR="001427B2">
          <w:rPr>
            <w:noProof/>
            <w:webHidden/>
          </w:rPr>
          <w:fldChar w:fldCharType="separate"/>
        </w:r>
        <w:r w:rsidR="00965AA2">
          <w:rPr>
            <w:noProof/>
            <w:webHidden/>
          </w:rPr>
          <w:t>6</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397" w:history="1">
        <w:r w:rsidR="00965AA2" w:rsidRPr="00417EF3">
          <w:rPr>
            <w:rStyle w:val="Hipervnculo"/>
            <w:noProof/>
          </w:rPr>
          <w:t>7.</w:t>
        </w:r>
        <w:r w:rsidR="00965AA2">
          <w:rPr>
            <w:rFonts w:asciiTheme="minorHAnsi" w:eastAsiaTheme="minorEastAsia" w:hAnsiTheme="minorHAnsi" w:cstheme="minorBidi"/>
            <w:noProof/>
            <w:lang w:eastAsia="es-CO"/>
          </w:rPr>
          <w:tab/>
        </w:r>
        <w:r w:rsidR="00965AA2" w:rsidRPr="00417EF3">
          <w:rPr>
            <w:rStyle w:val="Hipervnculo"/>
            <w:noProof/>
          </w:rPr>
          <w:t>ASPECTOS DE LA ESTRUCTURA ADMINISTRATIVA Y TÉCNICA</w:t>
        </w:r>
        <w:r w:rsidR="00965AA2">
          <w:rPr>
            <w:noProof/>
            <w:webHidden/>
          </w:rPr>
          <w:tab/>
        </w:r>
        <w:r w:rsidR="001427B2">
          <w:rPr>
            <w:noProof/>
            <w:webHidden/>
          </w:rPr>
          <w:fldChar w:fldCharType="begin"/>
        </w:r>
        <w:r w:rsidR="00965AA2">
          <w:rPr>
            <w:noProof/>
            <w:webHidden/>
          </w:rPr>
          <w:instrText xml:space="preserve"> PAGEREF _Toc333477397 \h </w:instrText>
        </w:r>
        <w:r w:rsidR="001427B2">
          <w:rPr>
            <w:noProof/>
            <w:webHidden/>
          </w:rPr>
        </w:r>
        <w:r w:rsidR="001427B2">
          <w:rPr>
            <w:noProof/>
            <w:webHidden/>
          </w:rPr>
          <w:fldChar w:fldCharType="separate"/>
        </w:r>
        <w:r w:rsidR="00965AA2">
          <w:rPr>
            <w:noProof/>
            <w:webHidden/>
          </w:rPr>
          <w:t>7</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398" w:history="1">
        <w:r w:rsidR="00965AA2" w:rsidRPr="00417EF3">
          <w:rPr>
            <w:rStyle w:val="Hipervnculo"/>
            <w:noProof/>
          </w:rPr>
          <w:t>7.1.</w:t>
        </w:r>
        <w:r w:rsidR="00965AA2">
          <w:rPr>
            <w:rFonts w:asciiTheme="minorHAnsi" w:eastAsiaTheme="minorEastAsia" w:hAnsiTheme="minorHAnsi" w:cstheme="minorBidi"/>
            <w:noProof/>
            <w:lang w:eastAsia="es-CO"/>
          </w:rPr>
          <w:tab/>
        </w:r>
        <w:r w:rsidR="00965AA2" w:rsidRPr="00417EF3">
          <w:rPr>
            <w:rStyle w:val="Hipervnculo"/>
            <w:noProof/>
          </w:rPr>
          <w:t>ORGANIGRAMA DEL SISTEMA</w:t>
        </w:r>
        <w:r w:rsidR="00965AA2">
          <w:rPr>
            <w:noProof/>
            <w:webHidden/>
          </w:rPr>
          <w:tab/>
        </w:r>
        <w:r w:rsidR="001427B2">
          <w:rPr>
            <w:noProof/>
            <w:webHidden/>
          </w:rPr>
          <w:fldChar w:fldCharType="begin"/>
        </w:r>
        <w:r w:rsidR="00965AA2">
          <w:rPr>
            <w:noProof/>
            <w:webHidden/>
          </w:rPr>
          <w:instrText xml:space="preserve"> PAGEREF _Toc333477398 \h </w:instrText>
        </w:r>
        <w:r w:rsidR="001427B2">
          <w:rPr>
            <w:noProof/>
            <w:webHidden/>
          </w:rPr>
        </w:r>
        <w:r w:rsidR="001427B2">
          <w:rPr>
            <w:noProof/>
            <w:webHidden/>
          </w:rPr>
          <w:fldChar w:fldCharType="separate"/>
        </w:r>
        <w:r w:rsidR="00965AA2">
          <w:rPr>
            <w:noProof/>
            <w:webHidden/>
          </w:rPr>
          <w:t>7</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399" w:history="1">
        <w:r w:rsidR="00965AA2" w:rsidRPr="00417EF3">
          <w:rPr>
            <w:rStyle w:val="Hipervnculo"/>
            <w:noProof/>
          </w:rPr>
          <w:t>7.2.</w:t>
        </w:r>
        <w:r w:rsidR="00965AA2">
          <w:rPr>
            <w:rFonts w:asciiTheme="minorHAnsi" w:eastAsiaTheme="minorEastAsia" w:hAnsiTheme="minorHAnsi" w:cstheme="minorBidi"/>
            <w:noProof/>
            <w:lang w:eastAsia="es-CO"/>
          </w:rPr>
          <w:tab/>
        </w:r>
        <w:r w:rsidR="00965AA2" w:rsidRPr="00417EF3">
          <w:rPr>
            <w:rStyle w:val="Hipervnculo"/>
            <w:noProof/>
          </w:rPr>
          <w:t>IDENTIFICACIÓN DE  PERSONAS ENCARGADAS DE LAS ACTIVIDADES DE MANEJO DE LOS RESIDUOS.</w:t>
        </w:r>
        <w:r w:rsidR="00965AA2">
          <w:rPr>
            <w:noProof/>
            <w:webHidden/>
          </w:rPr>
          <w:tab/>
        </w:r>
        <w:r w:rsidR="001427B2">
          <w:rPr>
            <w:noProof/>
            <w:webHidden/>
          </w:rPr>
          <w:fldChar w:fldCharType="begin"/>
        </w:r>
        <w:r w:rsidR="00965AA2">
          <w:rPr>
            <w:noProof/>
            <w:webHidden/>
          </w:rPr>
          <w:instrText xml:space="preserve"> PAGEREF _Toc333477399 \h </w:instrText>
        </w:r>
        <w:r w:rsidR="001427B2">
          <w:rPr>
            <w:noProof/>
            <w:webHidden/>
          </w:rPr>
        </w:r>
        <w:r w:rsidR="001427B2">
          <w:rPr>
            <w:noProof/>
            <w:webHidden/>
          </w:rPr>
          <w:fldChar w:fldCharType="separate"/>
        </w:r>
        <w:r w:rsidR="00965AA2">
          <w:rPr>
            <w:noProof/>
            <w:webHidden/>
          </w:rPr>
          <w:t>7</w:t>
        </w:r>
        <w:r w:rsidR="001427B2">
          <w:rPr>
            <w:noProof/>
            <w:webHidden/>
          </w:rPr>
          <w:fldChar w:fldCharType="end"/>
        </w:r>
      </w:hyperlink>
    </w:p>
    <w:p w:rsidR="00965AA2" w:rsidRDefault="001971C7" w:rsidP="001B2032">
      <w:pPr>
        <w:pStyle w:val="TDC2"/>
        <w:tabs>
          <w:tab w:val="clear" w:pos="720"/>
          <w:tab w:val="left" w:pos="284"/>
        </w:tabs>
        <w:rPr>
          <w:rFonts w:asciiTheme="minorHAnsi" w:eastAsiaTheme="minorEastAsia" w:hAnsiTheme="minorHAnsi" w:cstheme="minorBidi"/>
          <w:noProof/>
          <w:lang w:eastAsia="es-CO"/>
        </w:rPr>
      </w:pPr>
      <w:hyperlink w:anchor="_Toc333477400" w:history="1">
        <w:r w:rsidR="00965AA2" w:rsidRPr="00417EF3">
          <w:rPr>
            <w:rStyle w:val="Hipervnculo"/>
            <w:noProof/>
          </w:rPr>
          <w:t>7.3.</w:t>
        </w:r>
        <w:r w:rsidR="00965AA2">
          <w:rPr>
            <w:rFonts w:asciiTheme="minorHAnsi" w:eastAsiaTheme="minorEastAsia" w:hAnsiTheme="minorHAnsi" w:cstheme="minorBidi"/>
            <w:noProof/>
            <w:lang w:eastAsia="es-CO"/>
          </w:rPr>
          <w:tab/>
        </w:r>
        <w:r w:rsidR="00965AA2" w:rsidRPr="00417EF3">
          <w:rPr>
            <w:rStyle w:val="Hipervnculo"/>
            <w:noProof/>
          </w:rPr>
          <w:t>LICENCIAS, PERMISOS Y/O AUTORIZACIONES AMBIENTALES ASOCIADAS A LAS ACTIVIDADES DE MANEJO DE RESIDUOS.</w:t>
        </w:r>
        <w:r w:rsidR="00965AA2">
          <w:rPr>
            <w:noProof/>
            <w:webHidden/>
          </w:rPr>
          <w:tab/>
        </w:r>
        <w:r w:rsidR="001427B2">
          <w:rPr>
            <w:noProof/>
            <w:webHidden/>
          </w:rPr>
          <w:fldChar w:fldCharType="begin"/>
        </w:r>
        <w:r w:rsidR="00965AA2">
          <w:rPr>
            <w:noProof/>
            <w:webHidden/>
          </w:rPr>
          <w:instrText xml:space="preserve"> PAGEREF _Toc333477400 \h </w:instrText>
        </w:r>
        <w:r w:rsidR="001427B2">
          <w:rPr>
            <w:noProof/>
            <w:webHidden/>
          </w:rPr>
        </w:r>
        <w:r w:rsidR="001427B2">
          <w:rPr>
            <w:noProof/>
            <w:webHidden/>
          </w:rPr>
          <w:fldChar w:fldCharType="separate"/>
        </w:r>
        <w:r w:rsidR="00965AA2">
          <w:rPr>
            <w:noProof/>
            <w:webHidden/>
          </w:rPr>
          <w:t>8</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401" w:history="1">
        <w:r w:rsidR="00965AA2" w:rsidRPr="00417EF3">
          <w:rPr>
            <w:rStyle w:val="Hipervnculo"/>
            <w:noProof/>
          </w:rPr>
          <w:t>7.4.</w:t>
        </w:r>
        <w:r w:rsidR="00965AA2">
          <w:rPr>
            <w:rFonts w:asciiTheme="minorHAnsi" w:eastAsiaTheme="minorEastAsia" w:hAnsiTheme="minorHAnsi" w:cstheme="minorBidi"/>
            <w:noProof/>
            <w:lang w:eastAsia="es-CO"/>
          </w:rPr>
          <w:tab/>
        </w:r>
        <w:r w:rsidR="00965AA2" w:rsidRPr="00417EF3">
          <w:rPr>
            <w:rStyle w:val="Hipervnculo"/>
            <w:noProof/>
          </w:rPr>
          <w:t>DESCRIPCIÓN Y LOCALIZACIÓN DE LOS PUNTOS DE RECOLECCIÓN, CENTROS DE ACOPIO Y/O MECANISMOS EQUIVALENTES.</w:t>
        </w:r>
        <w:r w:rsidR="00965AA2">
          <w:rPr>
            <w:noProof/>
            <w:webHidden/>
          </w:rPr>
          <w:tab/>
        </w:r>
        <w:r w:rsidR="001427B2">
          <w:rPr>
            <w:noProof/>
            <w:webHidden/>
          </w:rPr>
          <w:fldChar w:fldCharType="begin"/>
        </w:r>
        <w:r w:rsidR="00965AA2">
          <w:rPr>
            <w:noProof/>
            <w:webHidden/>
          </w:rPr>
          <w:instrText xml:space="preserve"> PAGEREF _Toc333477401 \h </w:instrText>
        </w:r>
        <w:r w:rsidR="001427B2">
          <w:rPr>
            <w:noProof/>
            <w:webHidden/>
          </w:rPr>
        </w:r>
        <w:r w:rsidR="001427B2">
          <w:rPr>
            <w:noProof/>
            <w:webHidden/>
          </w:rPr>
          <w:fldChar w:fldCharType="separate"/>
        </w:r>
        <w:r w:rsidR="00965AA2">
          <w:rPr>
            <w:noProof/>
            <w:webHidden/>
          </w:rPr>
          <w:t>8</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402" w:history="1">
        <w:r w:rsidR="00965AA2" w:rsidRPr="00417EF3">
          <w:rPr>
            <w:rStyle w:val="Hipervnculo"/>
            <w:noProof/>
          </w:rPr>
          <w:t>7.5.</w:t>
        </w:r>
        <w:r w:rsidR="00965AA2">
          <w:rPr>
            <w:rFonts w:asciiTheme="minorHAnsi" w:eastAsiaTheme="minorEastAsia" w:hAnsiTheme="minorHAnsi" w:cstheme="minorBidi"/>
            <w:noProof/>
            <w:lang w:eastAsia="es-CO"/>
          </w:rPr>
          <w:tab/>
        </w:r>
        <w:r w:rsidR="00965AA2" w:rsidRPr="00417EF3">
          <w:rPr>
            <w:rStyle w:val="Hipervnculo"/>
            <w:noProof/>
          </w:rPr>
          <w:t>DESCRIPCIÓN DE LAS ACTIVIDADES DE MANEJO A LAS QUE SERÁN SOMETIDOS LOS RESIDUOS.</w:t>
        </w:r>
        <w:r w:rsidR="00965AA2">
          <w:rPr>
            <w:noProof/>
            <w:webHidden/>
          </w:rPr>
          <w:tab/>
        </w:r>
        <w:r w:rsidR="001427B2">
          <w:rPr>
            <w:noProof/>
            <w:webHidden/>
          </w:rPr>
          <w:fldChar w:fldCharType="begin"/>
        </w:r>
        <w:r w:rsidR="00965AA2">
          <w:rPr>
            <w:noProof/>
            <w:webHidden/>
          </w:rPr>
          <w:instrText xml:space="preserve"> PAGEREF _Toc333477402 \h </w:instrText>
        </w:r>
        <w:r w:rsidR="001427B2">
          <w:rPr>
            <w:noProof/>
            <w:webHidden/>
          </w:rPr>
        </w:r>
        <w:r w:rsidR="001427B2">
          <w:rPr>
            <w:noProof/>
            <w:webHidden/>
          </w:rPr>
          <w:fldChar w:fldCharType="separate"/>
        </w:r>
        <w:r w:rsidR="00965AA2">
          <w:rPr>
            <w:noProof/>
            <w:webHidden/>
          </w:rPr>
          <w:t>9</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403" w:history="1">
        <w:r w:rsidR="00965AA2" w:rsidRPr="00417EF3">
          <w:rPr>
            <w:rStyle w:val="Hipervnculo"/>
            <w:noProof/>
          </w:rPr>
          <w:t>7.6.</w:t>
        </w:r>
        <w:r w:rsidR="00965AA2">
          <w:rPr>
            <w:rFonts w:asciiTheme="minorHAnsi" w:eastAsiaTheme="minorEastAsia" w:hAnsiTheme="minorHAnsi" w:cstheme="minorBidi"/>
            <w:noProof/>
            <w:lang w:eastAsia="es-CO"/>
          </w:rPr>
          <w:tab/>
        </w:r>
        <w:r w:rsidR="00965AA2" w:rsidRPr="00417EF3">
          <w:rPr>
            <w:rStyle w:val="Hipervnculo"/>
            <w:noProof/>
          </w:rPr>
          <w:t>CANTIDADES Y PORCENTAJES DE RESIDUOS PREVISTOS A RECOGER.</w:t>
        </w:r>
        <w:r w:rsidR="00965AA2">
          <w:rPr>
            <w:noProof/>
            <w:webHidden/>
          </w:rPr>
          <w:tab/>
        </w:r>
        <w:r w:rsidR="001427B2">
          <w:rPr>
            <w:noProof/>
            <w:webHidden/>
          </w:rPr>
          <w:fldChar w:fldCharType="begin"/>
        </w:r>
        <w:r w:rsidR="00965AA2">
          <w:rPr>
            <w:noProof/>
            <w:webHidden/>
          </w:rPr>
          <w:instrText xml:space="preserve"> PAGEREF _Toc333477403 \h </w:instrText>
        </w:r>
        <w:r w:rsidR="001427B2">
          <w:rPr>
            <w:noProof/>
            <w:webHidden/>
          </w:rPr>
        </w:r>
        <w:r w:rsidR="001427B2">
          <w:rPr>
            <w:noProof/>
            <w:webHidden/>
          </w:rPr>
          <w:fldChar w:fldCharType="separate"/>
        </w:r>
        <w:r w:rsidR="00965AA2">
          <w:rPr>
            <w:noProof/>
            <w:webHidden/>
          </w:rPr>
          <w:t>10</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404" w:history="1">
        <w:r w:rsidR="00965AA2" w:rsidRPr="00417EF3">
          <w:rPr>
            <w:rStyle w:val="Hipervnculo"/>
            <w:noProof/>
          </w:rPr>
          <w:t>7.7.</w:t>
        </w:r>
        <w:r w:rsidR="00965AA2">
          <w:rPr>
            <w:rFonts w:asciiTheme="minorHAnsi" w:eastAsiaTheme="minorEastAsia" w:hAnsiTheme="minorHAnsi" w:cstheme="minorBidi"/>
            <w:noProof/>
            <w:lang w:eastAsia="es-CO"/>
          </w:rPr>
          <w:tab/>
        </w:r>
        <w:r w:rsidR="00965AA2" w:rsidRPr="00417EF3">
          <w:rPr>
            <w:rStyle w:val="Hipervnculo"/>
            <w:noProof/>
          </w:rPr>
          <w:t>INSTRUMENTOS DE GESTIÓN PREVISTOS PARA PROMOVER Y LOGRAR LA DEVOLUCIÓN DE LOS RESIDUOS.</w:t>
        </w:r>
        <w:r w:rsidR="00965AA2">
          <w:rPr>
            <w:noProof/>
            <w:webHidden/>
          </w:rPr>
          <w:tab/>
        </w:r>
        <w:r w:rsidR="001427B2">
          <w:rPr>
            <w:noProof/>
            <w:webHidden/>
          </w:rPr>
          <w:fldChar w:fldCharType="begin"/>
        </w:r>
        <w:r w:rsidR="00965AA2">
          <w:rPr>
            <w:noProof/>
            <w:webHidden/>
          </w:rPr>
          <w:instrText xml:space="preserve"> PAGEREF _Toc333477404 \h </w:instrText>
        </w:r>
        <w:r w:rsidR="001427B2">
          <w:rPr>
            <w:noProof/>
            <w:webHidden/>
          </w:rPr>
        </w:r>
        <w:r w:rsidR="001427B2">
          <w:rPr>
            <w:noProof/>
            <w:webHidden/>
          </w:rPr>
          <w:fldChar w:fldCharType="separate"/>
        </w:r>
        <w:r w:rsidR="00965AA2">
          <w:rPr>
            <w:noProof/>
            <w:webHidden/>
          </w:rPr>
          <w:t>10</w:t>
        </w:r>
        <w:r w:rsidR="001427B2">
          <w:rPr>
            <w:noProof/>
            <w:webHidden/>
          </w:rPr>
          <w:fldChar w:fldCharType="end"/>
        </w:r>
      </w:hyperlink>
    </w:p>
    <w:p w:rsidR="00965AA2" w:rsidRDefault="001971C7" w:rsidP="00965AA2">
      <w:pPr>
        <w:pStyle w:val="TDC3"/>
        <w:ind w:left="709" w:hanging="489"/>
        <w:rPr>
          <w:rFonts w:asciiTheme="minorHAnsi" w:eastAsiaTheme="minorEastAsia" w:hAnsiTheme="minorHAnsi" w:cstheme="minorBidi"/>
          <w:noProof/>
          <w:lang w:eastAsia="es-CO"/>
        </w:rPr>
      </w:pPr>
      <w:hyperlink w:anchor="_Toc333477405" w:history="1">
        <w:r w:rsidR="00965AA2" w:rsidRPr="00417EF3">
          <w:rPr>
            <w:rStyle w:val="Hipervnculo"/>
            <w:noProof/>
          </w:rPr>
          <w:t>7.8.</w:t>
        </w:r>
        <w:r w:rsidR="00965AA2">
          <w:rPr>
            <w:rFonts w:asciiTheme="minorHAnsi" w:eastAsiaTheme="minorEastAsia" w:hAnsiTheme="minorHAnsi" w:cstheme="minorBidi"/>
            <w:noProof/>
            <w:lang w:eastAsia="es-CO"/>
          </w:rPr>
          <w:tab/>
        </w:r>
        <w:r w:rsidR="00965AA2" w:rsidRPr="00417EF3">
          <w:rPr>
            <w:rStyle w:val="Hipervnculo"/>
            <w:noProof/>
          </w:rPr>
          <w:t>MECANISMOS DE COMUNICACIÓN CON EL CONSUMIDOR.</w:t>
        </w:r>
        <w:r w:rsidR="00965AA2">
          <w:rPr>
            <w:noProof/>
            <w:webHidden/>
          </w:rPr>
          <w:tab/>
        </w:r>
        <w:r w:rsidR="001427B2">
          <w:rPr>
            <w:noProof/>
            <w:webHidden/>
          </w:rPr>
          <w:fldChar w:fldCharType="begin"/>
        </w:r>
        <w:r w:rsidR="00965AA2">
          <w:rPr>
            <w:noProof/>
            <w:webHidden/>
          </w:rPr>
          <w:instrText xml:space="preserve"> PAGEREF _Toc333477405 \h </w:instrText>
        </w:r>
        <w:r w:rsidR="001427B2">
          <w:rPr>
            <w:noProof/>
            <w:webHidden/>
          </w:rPr>
        </w:r>
        <w:r w:rsidR="001427B2">
          <w:rPr>
            <w:noProof/>
            <w:webHidden/>
          </w:rPr>
          <w:fldChar w:fldCharType="separate"/>
        </w:r>
        <w:r w:rsidR="00965AA2">
          <w:rPr>
            <w:noProof/>
            <w:webHidden/>
          </w:rPr>
          <w:t>11</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406" w:history="1">
        <w:r w:rsidR="00965AA2" w:rsidRPr="00417EF3">
          <w:rPr>
            <w:rStyle w:val="Hipervnculo"/>
            <w:noProof/>
          </w:rPr>
          <w:t>7.9.</w:t>
        </w:r>
        <w:r w:rsidR="00965AA2">
          <w:rPr>
            <w:rFonts w:asciiTheme="minorHAnsi" w:eastAsiaTheme="minorEastAsia" w:hAnsiTheme="minorHAnsi" w:cstheme="minorBidi"/>
            <w:noProof/>
            <w:lang w:eastAsia="es-CO"/>
          </w:rPr>
          <w:tab/>
        </w:r>
        <w:r w:rsidR="00965AA2" w:rsidRPr="00417EF3">
          <w:rPr>
            <w:rStyle w:val="Hipervnculo"/>
            <w:noProof/>
          </w:rPr>
          <w:t>MECANISMOS DE RECOLECCION, SEGUIMIENTO Y VERIFICACIÓN DE LOS DATOS APORTADOS, VALIDACIÓN DE LOS MISMOS Y SUMINISTRO DE INFORMACIÓN.</w:t>
        </w:r>
        <w:r w:rsidR="00965AA2">
          <w:rPr>
            <w:noProof/>
            <w:webHidden/>
          </w:rPr>
          <w:tab/>
        </w:r>
        <w:r w:rsidR="001427B2">
          <w:rPr>
            <w:noProof/>
            <w:webHidden/>
          </w:rPr>
          <w:fldChar w:fldCharType="begin"/>
        </w:r>
        <w:r w:rsidR="00965AA2">
          <w:rPr>
            <w:noProof/>
            <w:webHidden/>
          </w:rPr>
          <w:instrText xml:space="preserve"> PAGEREF _Toc333477406 \h </w:instrText>
        </w:r>
        <w:r w:rsidR="001427B2">
          <w:rPr>
            <w:noProof/>
            <w:webHidden/>
          </w:rPr>
        </w:r>
        <w:r w:rsidR="001427B2">
          <w:rPr>
            <w:noProof/>
            <w:webHidden/>
          </w:rPr>
          <w:fldChar w:fldCharType="separate"/>
        </w:r>
        <w:r w:rsidR="00965AA2">
          <w:rPr>
            <w:noProof/>
            <w:webHidden/>
          </w:rPr>
          <w:t>11</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407" w:history="1">
        <w:r w:rsidR="00965AA2" w:rsidRPr="00417EF3">
          <w:rPr>
            <w:rStyle w:val="Hipervnculo"/>
            <w:noProof/>
          </w:rPr>
          <w:t>7.10.</w:t>
        </w:r>
        <w:r w:rsidR="00965AA2">
          <w:rPr>
            <w:rFonts w:asciiTheme="minorHAnsi" w:eastAsiaTheme="minorEastAsia" w:hAnsiTheme="minorHAnsi" w:cstheme="minorBidi"/>
            <w:noProof/>
            <w:lang w:eastAsia="es-CO"/>
          </w:rPr>
          <w:tab/>
        </w:r>
        <w:r w:rsidR="00965AA2" w:rsidRPr="00417EF3">
          <w:rPr>
            <w:rStyle w:val="Hipervnculo"/>
            <w:noProof/>
          </w:rPr>
          <w:t>MECANISMOS DE FINANCIACIÓN Y COSTOS DEL SISTEMA.</w:t>
        </w:r>
        <w:r w:rsidR="00965AA2">
          <w:rPr>
            <w:noProof/>
            <w:webHidden/>
          </w:rPr>
          <w:tab/>
        </w:r>
        <w:r w:rsidR="001427B2">
          <w:rPr>
            <w:noProof/>
            <w:webHidden/>
          </w:rPr>
          <w:fldChar w:fldCharType="begin"/>
        </w:r>
        <w:r w:rsidR="00965AA2">
          <w:rPr>
            <w:noProof/>
            <w:webHidden/>
          </w:rPr>
          <w:instrText xml:space="preserve"> PAGEREF _Toc333477407 \h </w:instrText>
        </w:r>
        <w:r w:rsidR="001427B2">
          <w:rPr>
            <w:noProof/>
            <w:webHidden/>
          </w:rPr>
        </w:r>
        <w:r w:rsidR="001427B2">
          <w:rPr>
            <w:noProof/>
            <w:webHidden/>
          </w:rPr>
          <w:fldChar w:fldCharType="separate"/>
        </w:r>
        <w:r w:rsidR="00965AA2">
          <w:rPr>
            <w:noProof/>
            <w:webHidden/>
          </w:rPr>
          <w:t>12</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408" w:history="1">
        <w:r w:rsidR="00965AA2" w:rsidRPr="00417EF3">
          <w:rPr>
            <w:rStyle w:val="Hipervnculo"/>
            <w:noProof/>
          </w:rPr>
          <w:t>7.11.</w:t>
        </w:r>
        <w:r w:rsidR="00965AA2">
          <w:rPr>
            <w:rFonts w:asciiTheme="minorHAnsi" w:eastAsiaTheme="minorEastAsia" w:hAnsiTheme="minorHAnsi" w:cstheme="minorBidi"/>
            <w:noProof/>
            <w:lang w:eastAsia="es-CO"/>
          </w:rPr>
          <w:tab/>
        </w:r>
        <w:r w:rsidR="00965AA2" w:rsidRPr="00417EF3">
          <w:rPr>
            <w:rStyle w:val="Hipervnculo"/>
            <w:noProof/>
          </w:rPr>
          <w:t>IDENTIFICACIÓN DE SISTEMAS COLECTIVOS MEDIANTE SÍMBOLO O LOGO.</w:t>
        </w:r>
        <w:r w:rsidR="00965AA2">
          <w:rPr>
            <w:noProof/>
            <w:webHidden/>
          </w:rPr>
          <w:tab/>
        </w:r>
        <w:r w:rsidR="001427B2">
          <w:rPr>
            <w:noProof/>
            <w:webHidden/>
          </w:rPr>
          <w:fldChar w:fldCharType="begin"/>
        </w:r>
        <w:r w:rsidR="00965AA2">
          <w:rPr>
            <w:noProof/>
            <w:webHidden/>
          </w:rPr>
          <w:instrText xml:space="preserve"> PAGEREF _Toc333477408 \h </w:instrText>
        </w:r>
        <w:r w:rsidR="001427B2">
          <w:rPr>
            <w:noProof/>
            <w:webHidden/>
          </w:rPr>
        </w:r>
        <w:r w:rsidR="001427B2">
          <w:rPr>
            <w:noProof/>
            <w:webHidden/>
          </w:rPr>
          <w:fldChar w:fldCharType="separate"/>
        </w:r>
        <w:r w:rsidR="00965AA2">
          <w:rPr>
            <w:noProof/>
            <w:webHidden/>
          </w:rPr>
          <w:t>12</w:t>
        </w:r>
        <w:r w:rsidR="001427B2">
          <w:rPr>
            <w:noProof/>
            <w:webHidden/>
          </w:rPr>
          <w:fldChar w:fldCharType="end"/>
        </w:r>
      </w:hyperlink>
    </w:p>
    <w:p w:rsidR="00965AA2" w:rsidRDefault="001971C7" w:rsidP="00B1254E">
      <w:pPr>
        <w:pStyle w:val="TDC2"/>
        <w:rPr>
          <w:rFonts w:asciiTheme="minorHAnsi" w:eastAsiaTheme="minorEastAsia" w:hAnsiTheme="minorHAnsi" w:cstheme="minorBidi"/>
          <w:noProof/>
          <w:lang w:eastAsia="es-CO"/>
        </w:rPr>
      </w:pPr>
      <w:hyperlink w:anchor="_Toc333477409" w:history="1">
        <w:r w:rsidR="00965AA2" w:rsidRPr="00417EF3">
          <w:rPr>
            <w:rStyle w:val="Hipervnculo"/>
            <w:noProof/>
          </w:rPr>
          <w:t>8.</w:t>
        </w:r>
        <w:r w:rsidR="00965AA2">
          <w:rPr>
            <w:rFonts w:asciiTheme="minorHAnsi" w:eastAsiaTheme="minorEastAsia" w:hAnsiTheme="minorHAnsi" w:cstheme="minorBidi"/>
            <w:noProof/>
            <w:lang w:eastAsia="es-CO"/>
          </w:rPr>
          <w:tab/>
        </w:r>
        <w:r w:rsidR="00965AA2" w:rsidRPr="00417EF3">
          <w:rPr>
            <w:rStyle w:val="Hipervnculo"/>
            <w:noProof/>
          </w:rPr>
          <w:t>REQUISITOS PARA LA ENTERGA DEL SISTEMA.</w:t>
        </w:r>
        <w:r w:rsidR="00965AA2">
          <w:rPr>
            <w:noProof/>
            <w:webHidden/>
          </w:rPr>
          <w:tab/>
        </w:r>
        <w:r w:rsidR="001427B2">
          <w:rPr>
            <w:noProof/>
            <w:webHidden/>
          </w:rPr>
          <w:fldChar w:fldCharType="begin"/>
        </w:r>
        <w:r w:rsidR="00965AA2">
          <w:rPr>
            <w:noProof/>
            <w:webHidden/>
          </w:rPr>
          <w:instrText xml:space="preserve"> PAGEREF _Toc333477409 \h </w:instrText>
        </w:r>
        <w:r w:rsidR="001427B2">
          <w:rPr>
            <w:noProof/>
            <w:webHidden/>
          </w:rPr>
        </w:r>
        <w:r w:rsidR="001427B2">
          <w:rPr>
            <w:noProof/>
            <w:webHidden/>
          </w:rPr>
          <w:fldChar w:fldCharType="separate"/>
        </w:r>
        <w:r w:rsidR="00965AA2">
          <w:rPr>
            <w:noProof/>
            <w:webHidden/>
          </w:rPr>
          <w:t>12</w:t>
        </w:r>
        <w:r w:rsidR="001427B2">
          <w:rPr>
            <w:noProof/>
            <w:webHidden/>
          </w:rPr>
          <w:fldChar w:fldCharType="end"/>
        </w:r>
      </w:hyperlink>
    </w:p>
    <w:p w:rsidR="00196696" w:rsidRPr="00B1254E" w:rsidRDefault="001971C7" w:rsidP="00B1254E">
      <w:pPr>
        <w:pStyle w:val="TDC2"/>
        <w:rPr>
          <w:rFonts w:cs="Arial"/>
        </w:rPr>
      </w:pPr>
      <w:hyperlink w:anchor="_Toc333477410" w:history="1">
        <w:r w:rsidR="00965AA2">
          <w:rPr>
            <w:rFonts w:asciiTheme="minorHAnsi" w:eastAsiaTheme="minorEastAsia" w:hAnsiTheme="minorHAnsi" w:cstheme="minorBidi"/>
            <w:noProof/>
            <w:lang w:eastAsia="es-CO"/>
          </w:rPr>
          <w:tab/>
        </w:r>
      </w:hyperlink>
      <w:r w:rsidR="001427B2" w:rsidRPr="001974BD">
        <w:rPr>
          <w:sz w:val="20"/>
          <w:szCs w:val="20"/>
        </w:rPr>
        <w:fldChar w:fldCharType="end"/>
      </w:r>
      <w:r w:rsidR="00FC3C4B" w:rsidRPr="00BA122E">
        <w:rPr>
          <w:sz w:val="24"/>
          <w:szCs w:val="24"/>
        </w:rPr>
        <w:br w:type="page"/>
      </w:r>
      <w:r w:rsidR="00B6726F" w:rsidRPr="00B1254E">
        <w:lastRenderedPageBreak/>
        <w:t>S</w:t>
      </w:r>
      <w:r w:rsidR="00196696" w:rsidRPr="00B1254E">
        <w:rPr>
          <w:rFonts w:cs="Arial"/>
        </w:rPr>
        <w:t>ISTEMAS DE RECOLECCIÓN SELECTIVA Y GESTIÓN AMBIENTAL DE RESIDUOS</w:t>
      </w:r>
      <w:r w:rsidR="00B6726F" w:rsidRPr="00B1254E">
        <w:rPr>
          <w:rFonts w:cs="Arial"/>
        </w:rPr>
        <w:t xml:space="preserve"> DE PILAS Y/O ACUMULADORES</w:t>
      </w:r>
    </w:p>
    <w:p w:rsidR="00196696" w:rsidRPr="0071315B" w:rsidRDefault="00196696" w:rsidP="00196696">
      <w:pPr>
        <w:rPr>
          <w:rFonts w:cs="Arial"/>
        </w:rPr>
      </w:pPr>
    </w:p>
    <w:p w:rsidR="00196696" w:rsidRPr="0071315B" w:rsidRDefault="00B6726F" w:rsidP="00196696">
      <w:pPr>
        <w:rPr>
          <w:rFonts w:cs="Arial"/>
          <w:i/>
        </w:rPr>
      </w:pPr>
      <w:r w:rsidRPr="0071315B">
        <w:rPr>
          <w:rFonts w:cs="Arial"/>
        </w:rPr>
        <w:t xml:space="preserve">El Ministerio de Ambiente, Vivienda y Desarrollo Territorial, hoy Ministerio de Ambiente y Desarrollo Sostenible, con la finalidad de reducir y prevenir la generación de efectos adversos  a la  salud y </w:t>
      </w:r>
      <w:r w:rsidR="00AE4D2A" w:rsidRPr="0071315B">
        <w:rPr>
          <w:rFonts w:cs="Arial"/>
        </w:rPr>
        <w:t>a</w:t>
      </w:r>
      <w:r w:rsidRPr="0071315B">
        <w:rPr>
          <w:rFonts w:cs="Arial"/>
        </w:rPr>
        <w:t>l ambiente</w:t>
      </w:r>
      <w:r w:rsidR="00AE4D2A" w:rsidRPr="0071315B">
        <w:rPr>
          <w:rFonts w:cs="Arial"/>
        </w:rPr>
        <w:t>,</w:t>
      </w:r>
      <w:r w:rsidRPr="0071315B">
        <w:rPr>
          <w:rFonts w:cs="Arial"/>
        </w:rPr>
        <w:t xml:space="preserve"> por el manejo inadecuado de los residuos de pilas y/o acumuladores, expidió la Resolución 1297 de 2010, </w:t>
      </w:r>
      <w:r w:rsidR="005C3BDC" w:rsidRPr="0071315B">
        <w:rPr>
          <w:rFonts w:cs="Arial"/>
          <w:i/>
        </w:rPr>
        <w:t xml:space="preserve">“Por la cual se establecen los Sistemas de Recolección Selectiva y Gestión Ambiental de Residuos de Pilas </w:t>
      </w:r>
    </w:p>
    <w:p w:rsidR="00B6726F" w:rsidRPr="0071315B" w:rsidRDefault="005C3BDC" w:rsidP="00196696">
      <w:pPr>
        <w:rPr>
          <w:rFonts w:cs="Arial"/>
        </w:rPr>
      </w:pPr>
      <w:r w:rsidRPr="0071315B">
        <w:rPr>
          <w:rFonts w:cs="Arial"/>
          <w:i/>
        </w:rPr>
        <w:t xml:space="preserve">y/o </w:t>
      </w:r>
      <w:r w:rsidR="002D6BCF" w:rsidRPr="0071315B">
        <w:rPr>
          <w:rFonts w:cs="Arial"/>
          <w:i/>
        </w:rPr>
        <w:t xml:space="preserve"> </w:t>
      </w:r>
      <w:r w:rsidRPr="0071315B">
        <w:rPr>
          <w:rFonts w:cs="Arial"/>
          <w:i/>
        </w:rPr>
        <w:t>Acumuladores</w:t>
      </w:r>
      <w:r w:rsidR="00D6754D">
        <w:rPr>
          <w:rFonts w:cs="Arial"/>
          <w:i/>
        </w:rPr>
        <w:t xml:space="preserve"> (…)</w:t>
      </w:r>
      <w:r w:rsidRPr="0071315B">
        <w:rPr>
          <w:rFonts w:cs="Arial"/>
          <w:i/>
        </w:rPr>
        <w:t>”</w:t>
      </w:r>
      <w:r w:rsidRPr="0071315B">
        <w:rPr>
          <w:rFonts w:cs="Arial"/>
        </w:rPr>
        <w:t>, instituyendo en los productores de más de 3000 unidades al año, la obligación de formular y presentar los Sistemas</w:t>
      </w:r>
      <w:r w:rsidRPr="0071315B">
        <w:rPr>
          <w:rFonts w:cs="Arial"/>
          <w:i/>
        </w:rPr>
        <w:t xml:space="preserve"> </w:t>
      </w:r>
      <w:r w:rsidRPr="0071315B">
        <w:rPr>
          <w:rFonts w:cs="Arial"/>
        </w:rPr>
        <w:t>Recolección Selectiva</w:t>
      </w:r>
      <w:r w:rsidR="00D0663A" w:rsidRPr="0071315B">
        <w:rPr>
          <w:rFonts w:cs="Arial"/>
        </w:rPr>
        <w:t xml:space="preserve"> </w:t>
      </w:r>
      <w:r w:rsidRPr="0071315B">
        <w:rPr>
          <w:rFonts w:cs="Arial"/>
        </w:rPr>
        <w:t xml:space="preserve">ante la Autoridad Nacional de Licencias Ambientales </w:t>
      </w:r>
      <w:r w:rsidR="00D0663A" w:rsidRPr="0071315B">
        <w:rPr>
          <w:rFonts w:cs="Arial"/>
        </w:rPr>
        <w:t>–</w:t>
      </w:r>
      <w:r w:rsidRPr="0071315B">
        <w:rPr>
          <w:rFonts w:cs="Arial"/>
        </w:rPr>
        <w:t>ANLA</w:t>
      </w:r>
      <w:r w:rsidR="00D0663A" w:rsidRPr="0071315B">
        <w:rPr>
          <w:rFonts w:cs="Arial"/>
        </w:rPr>
        <w:t>, para su evaluación, aprobación y seguimiento.</w:t>
      </w:r>
    </w:p>
    <w:p w:rsidR="00B6726F" w:rsidRPr="0071315B" w:rsidRDefault="00B6726F" w:rsidP="00196696">
      <w:pPr>
        <w:rPr>
          <w:rFonts w:cs="Arial"/>
        </w:rPr>
      </w:pPr>
    </w:p>
    <w:p w:rsidR="00196696" w:rsidRPr="0071315B" w:rsidRDefault="00D0663A" w:rsidP="00196696">
      <w:pPr>
        <w:rPr>
          <w:rFonts w:cs="Arial"/>
        </w:rPr>
      </w:pPr>
      <w:r w:rsidRPr="0071315B">
        <w:rPr>
          <w:rFonts w:cs="Arial"/>
        </w:rPr>
        <w:t>De acuerdo con lo anterior,  en este documento se presentan l</w:t>
      </w:r>
      <w:r w:rsidR="00196696" w:rsidRPr="0071315B">
        <w:rPr>
          <w:rFonts w:cs="Arial"/>
        </w:rPr>
        <w:t xml:space="preserve">os Términos de Referencia </w:t>
      </w:r>
      <w:r w:rsidRPr="0071315B">
        <w:rPr>
          <w:rFonts w:cs="Arial"/>
        </w:rPr>
        <w:t xml:space="preserve">para </w:t>
      </w:r>
      <w:r w:rsidR="0011268F" w:rsidRPr="0071315B">
        <w:rPr>
          <w:rFonts w:cs="Arial"/>
        </w:rPr>
        <w:t>la formulación de</w:t>
      </w:r>
      <w:r w:rsidRPr="0071315B">
        <w:rPr>
          <w:rFonts w:cs="Arial"/>
        </w:rPr>
        <w:t xml:space="preserve"> los </w:t>
      </w:r>
      <w:r w:rsidR="0011268F" w:rsidRPr="0071315B">
        <w:rPr>
          <w:rFonts w:cs="Arial"/>
        </w:rPr>
        <w:t>Sistemas</w:t>
      </w:r>
      <w:r w:rsidR="0011268F" w:rsidRPr="0071315B">
        <w:rPr>
          <w:rFonts w:cs="Arial"/>
          <w:i/>
        </w:rPr>
        <w:t xml:space="preserve"> </w:t>
      </w:r>
      <w:r w:rsidR="0011268F" w:rsidRPr="0071315B">
        <w:rPr>
          <w:rFonts w:cs="Arial"/>
        </w:rPr>
        <w:t>Recolección Selectiva de Pilas y/o Acumuladores, entendiéndose est</w:t>
      </w:r>
      <w:r w:rsidR="00196696" w:rsidRPr="0071315B">
        <w:rPr>
          <w:rFonts w:cs="Arial"/>
        </w:rPr>
        <w:t>os como un documento guía para</w:t>
      </w:r>
      <w:r w:rsidR="0011268F" w:rsidRPr="0071315B">
        <w:rPr>
          <w:rFonts w:cs="Arial"/>
        </w:rPr>
        <w:t xml:space="preserve"> su </w:t>
      </w:r>
      <w:r w:rsidR="00196696" w:rsidRPr="0071315B">
        <w:rPr>
          <w:rFonts w:cs="Arial"/>
        </w:rPr>
        <w:t xml:space="preserve"> </w:t>
      </w:r>
      <w:r w:rsidR="0011268F" w:rsidRPr="0071315B">
        <w:rPr>
          <w:rFonts w:cs="Arial"/>
        </w:rPr>
        <w:t>elaboración.</w:t>
      </w:r>
    </w:p>
    <w:p w:rsidR="0011268F" w:rsidRPr="0071315B" w:rsidRDefault="0011268F" w:rsidP="00196696">
      <w:pPr>
        <w:rPr>
          <w:rFonts w:cs="Arial"/>
        </w:rPr>
      </w:pPr>
    </w:p>
    <w:p w:rsidR="00472A32" w:rsidRPr="0071315B" w:rsidRDefault="0011268F" w:rsidP="00B32161">
      <w:pPr>
        <w:spacing w:line="252" w:lineRule="auto"/>
        <w:rPr>
          <w:rFonts w:cs="Arial"/>
          <w:color w:val="000000"/>
        </w:rPr>
      </w:pPr>
      <w:r w:rsidRPr="0071315B">
        <w:rPr>
          <w:rFonts w:cs="Arial"/>
        </w:rPr>
        <w:t>Los  Sistemas de Recolección Selectiva y Gestión Ambiental de Residuos de Pilas y/o Acumuladores</w:t>
      </w:r>
      <w:r w:rsidR="00B16413" w:rsidRPr="0071315B">
        <w:rPr>
          <w:rFonts w:cs="Arial"/>
        </w:rPr>
        <w:t>,</w:t>
      </w:r>
      <w:r w:rsidRPr="0071315B">
        <w:rPr>
          <w:rFonts w:cs="Arial"/>
        </w:rPr>
        <w:t xml:space="preserve"> son un instrumento de control y manejo ambiental</w:t>
      </w:r>
      <w:r w:rsidR="00B16413" w:rsidRPr="0071315B">
        <w:rPr>
          <w:rFonts w:cs="Arial"/>
        </w:rPr>
        <w:t>,</w:t>
      </w:r>
      <w:r w:rsidRPr="0071315B">
        <w:rPr>
          <w:rFonts w:cs="Arial"/>
        </w:rPr>
        <w:t xml:space="preserve"> </w:t>
      </w:r>
      <w:r w:rsidR="00D6754D">
        <w:rPr>
          <w:rFonts w:cs="Arial"/>
        </w:rPr>
        <w:t>que tienen por objeto</w:t>
      </w:r>
      <w:r w:rsidRPr="0071315B">
        <w:rPr>
          <w:rFonts w:cs="Arial"/>
        </w:rPr>
        <w:t xml:space="preserve"> </w:t>
      </w:r>
      <w:r w:rsidR="00B16413" w:rsidRPr="0071315B">
        <w:rPr>
          <w:rFonts w:cs="Arial"/>
        </w:rPr>
        <w:t xml:space="preserve">garantizar la recolección selectiva y gestión ambiental de </w:t>
      </w:r>
      <w:r w:rsidR="00E21FE0">
        <w:rPr>
          <w:rFonts w:cs="Arial"/>
        </w:rPr>
        <w:t>dichos residuos</w:t>
      </w:r>
      <w:r w:rsidR="00B32161" w:rsidRPr="0071315B">
        <w:rPr>
          <w:rFonts w:cs="Arial"/>
        </w:rPr>
        <w:t>,</w:t>
      </w:r>
      <w:r w:rsidR="00B16413" w:rsidRPr="0071315B">
        <w:rPr>
          <w:rFonts w:cs="Arial"/>
        </w:rPr>
        <w:t xml:space="preserve"> </w:t>
      </w:r>
      <w:r w:rsidR="00B32161" w:rsidRPr="0071315B">
        <w:rPr>
          <w:rFonts w:cs="Arial"/>
        </w:rPr>
        <w:t xml:space="preserve">cuando </w:t>
      </w:r>
      <w:r w:rsidR="00E21FE0">
        <w:rPr>
          <w:rFonts w:cs="Arial"/>
          <w:color w:val="000000"/>
        </w:rPr>
        <w:t>las pilas y/o acumuladores</w:t>
      </w:r>
      <w:r w:rsidR="00E21FE0" w:rsidRPr="0071315B">
        <w:rPr>
          <w:rFonts w:cs="Arial"/>
          <w:color w:val="000000"/>
        </w:rPr>
        <w:t xml:space="preserve"> </w:t>
      </w:r>
      <w:r w:rsidR="00B32161" w:rsidRPr="0071315B">
        <w:rPr>
          <w:rFonts w:cs="Arial"/>
          <w:color w:val="000000"/>
        </w:rPr>
        <w:t>llegan al final de su vida útil.</w:t>
      </w:r>
      <w:r w:rsidR="00B16413" w:rsidRPr="0071315B">
        <w:rPr>
          <w:rFonts w:cs="Arial"/>
        </w:rPr>
        <w:t xml:space="preserve"> </w:t>
      </w:r>
      <w:r w:rsidR="00466DCF" w:rsidRPr="0071315B">
        <w:rPr>
          <w:rFonts w:cs="Arial"/>
        </w:rPr>
        <w:t>Los productores de pilas y/o acumuladores, pueden formular y/o elaborar los sistemas de forma individual o cole</w:t>
      </w:r>
      <w:r w:rsidR="00472A32" w:rsidRPr="0071315B">
        <w:rPr>
          <w:rFonts w:cs="Arial"/>
        </w:rPr>
        <w:t>ctiva, de acuerdo con sus necesidades.</w:t>
      </w:r>
      <w:r w:rsidR="00230334" w:rsidRPr="0071315B">
        <w:rPr>
          <w:rFonts w:cs="Arial"/>
        </w:rPr>
        <w:t xml:space="preserve"> Para el caso de sistemas colectivos, se presentan dos modalidades, la creación de una persona jurídica para tal fin, conformada por todos los integrantes del sistema y acuerdos entre los productores, con la elección de un vocero o representante.</w:t>
      </w:r>
    </w:p>
    <w:p w:rsidR="00472A32" w:rsidRPr="0071315B" w:rsidRDefault="00472A32" w:rsidP="00466DCF">
      <w:pPr>
        <w:rPr>
          <w:rFonts w:cs="Arial"/>
        </w:rPr>
      </w:pPr>
    </w:p>
    <w:p w:rsidR="00466DCF" w:rsidRPr="0071315B" w:rsidRDefault="00472A32" w:rsidP="00466DCF">
      <w:pPr>
        <w:rPr>
          <w:rFonts w:cs="Arial"/>
        </w:rPr>
      </w:pPr>
      <w:r w:rsidRPr="0071315B">
        <w:rPr>
          <w:rFonts w:cs="Arial"/>
        </w:rPr>
        <w:t>E</w:t>
      </w:r>
      <w:r w:rsidR="00ED41D7" w:rsidRPr="0071315B">
        <w:rPr>
          <w:rFonts w:cs="Arial"/>
        </w:rPr>
        <w:t>n el</w:t>
      </w:r>
      <w:r w:rsidRPr="0071315B">
        <w:rPr>
          <w:rFonts w:cs="Arial"/>
        </w:rPr>
        <w:t xml:space="preserve"> proceso de formulación</w:t>
      </w:r>
      <w:r w:rsidR="00ED41D7" w:rsidRPr="0071315B">
        <w:rPr>
          <w:rFonts w:cs="Arial"/>
        </w:rPr>
        <w:t xml:space="preserve"> de los sistemas se contemplan aspectos como el desarrollo de estrategias que permitan garantizar el cumplimiento de las metas mínimas de recolección anuales (incrementos graduales) y   la implementación de la logística para llevar a cabo dicho proceso.</w:t>
      </w:r>
    </w:p>
    <w:p w:rsidR="00466DCF" w:rsidRPr="0071315B" w:rsidRDefault="00466DCF" w:rsidP="0011268F">
      <w:pPr>
        <w:rPr>
          <w:rFonts w:cs="Arial"/>
        </w:rPr>
      </w:pPr>
    </w:p>
    <w:p w:rsidR="00196696" w:rsidRPr="0071315B" w:rsidRDefault="00196696" w:rsidP="00196696">
      <w:pPr>
        <w:rPr>
          <w:rFonts w:cs="Arial"/>
        </w:rPr>
      </w:pPr>
      <w:r w:rsidRPr="0071315B">
        <w:rPr>
          <w:rFonts w:cs="Arial"/>
        </w:rPr>
        <w:t xml:space="preserve">El </w:t>
      </w:r>
      <w:r w:rsidR="00ED41D7" w:rsidRPr="0071315B">
        <w:rPr>
          <w:rFonts w:cs="Arial"/>
        </w:rPr>
        <w:t xml:space="preserve">Sistema de Recolección Selectiva y Gestión Ambiental de Residuos de Pilas  y/o Acumuladores </w:t>
      </w:r>
      <w:r w:rsidRPr="0071315B">
        <w:rPr>
          <w:rFonts w:cs="Arial"/>
        </w:rPr>
        <w:t>deberá contener</w:t>
      </w:r>
      <w:r w:rsidR="00B62067">
        <w:rPr>
          <w:rFonts w:cs="Arial"/>
        </w:rPr>
        <w:t xml:space="preserve"> por lo menos la siguiente información</w:t>
      </w:r>
      <w:r w:rsidRPr="0071315B">
        <w:rPr>
          <w:rFonts w:cs="Arial"/>
        </w:rPr>
        <w:t xml:space="preserve">: </w:t>
      </w:r>
    </w:p>
    <w:p w:rsidR="00FC3C4B" w:rsidRPr="0071315B" w:rsidRDefault="00FC3C4B" w:rsidP="0079039E">
      <w:pPr>
        <w:spacing w:line="252" w:lineRule="auto"/>
        <w:rPr>
          <w:rFonts w:cs="Arial"/>
          <w:color w:val="000000"/>
        </w:rPr>
      </w:pPr>
    </w:p>
    <w:p w:rsidR="006134A7" w:rsidRPr="0071315B" w:rsidRDefault="006134A7" w:rsidP="00B32161">
      <w:pPr>
        <w:pStyle w:val="elementosist"/>
        <w:numPr>
          <w:ilvl w:val="0"/>
          <w:numId w:val="21"/>
        </w:numPr>
        <w:ind w:hanging="1080"/>
      </w:pPr>
      <w:bookmarkStart w:id="1" w:name="_Toc333477390"/>
      <w:r w:rsidRPr="0071315B">
        <w:t>CARTA DE PRESENTACIÓN</w:t>
      </w:r>
      <w:bookmarkEnd w:id="1"/>
    </w:p>
    <w:p w:rsidR="009E47E9" w:rsidRPr="0071315B" w:rsidRDefault="009E47E9" w:rsidP="009E47E9">
      <w:pPr>
        <w:pStyle w:val="elementosist"/>
        <w:numPr>
          <w:ilvl w:val="0"/>
          <w:numId w:val="0"/>
        </w:numPr>
        <w:ind w:left="1080"/>
      </w:pPr>
    </w:p>
    <w:p w:rsidR="006134A7" w:rsidRPr="0071315B" w:rsidRDefault="006134A7" w:rsidP="006134A7">
      <w:pPr>
        <w:pStyle w:val="elementosist"/>
        <w:numPr>
          <w:ilvl w:val="0"/>
          <w:numId w:val="0"/>
        </w:numPr>
        <w:jc w:val="both"/>
        <w:rPr>
          <w:b w:val="0"/>
        </w:rPr>
      </w:pPr>
      <w:bookmarkStart w:id="2" w:name="_Toc333476723"/>
      <w:bookmarkStart w:id="3" w:name="_Toc333477391"/>
      <w:r w:rsidRPr="0071315B">
        <w:rPr>
          <w:b w:val="0"/>
        </w:rPr>
        <w:t>El Sistema de Recolección Selectiva</w:t>
      </w:r>
      <w:r w:rsidR="007826F9">
        <w:rPr>
          <w:b w:val="0"/>
        </w:rPr>
        <w:t xml:space="preserve"> (SRS)</w:t>
      </w:r>
      <w:r w:rsidRPr="0071315B">
        <w:rPr>
          <w:b w:val="0"/>
        </w:rPr>
        <w:t xml:space="preserve"> deberá presentar como documento independiente una carta de presentación</w:t>
      </w:r>
      <w:r w:rsidR="00230334" w:rsidRPr="0071315B">
        <w:rPr>
          <w:b w:val="0"/>
        </w:rPr>
        <w:t xml:space="preserve"> dirigida  a la </w:t>
      </w:r>
      <w:r w:rsidR="007826F9">
        <w:rPr>
          <w:b w:val="0"/>
        </w:rPr>
        <w:t xml:space="preserve">Subdirección de Instrumentos, Permisos y Trámites Ambientales, de la </w:t>
      </w:r>
      <w:r w:rsidR="00230334" w:rsidRPr="0071315B">
        <w:rPr>
          <w:b w:val="0"/>
        </w:rPr>
        <w:t>Autoridad Nacional de Licencias Ambientales-ANLA</w:t>
      </w:r>
      <w:r w:rsidRPr="0071315B">
        <w:rPr>
          <w:b w:val="0"/>
        </w:rPr>
        <w:t>, en la cual se describa el tipo de sistema a presentar</w:t>
      </w:r>
      <w:r w:rsidR="00230334" w:rsidRPr="0071315B">
        <w:rPr>
          <w:b w:val="0"/>
        </w:rPr>
        <w:t xml:space="preserve"> (individual o colectivo)</w:t>
      </w:r>
      <w:r w:rsidRPr="0071315B">
        <w:rPr>
          <w:b w:val="0"/>
        </w:rPr>
        <w:t xml:space="preserve">, las características relevantes de las estrategias de recolección a implementar, cobertura, metas de recolección y la gestión  que se realizará a los residuos recolectados. </w:t>
      </w:r>
      <w:r w:rsidR="00230334" w:rsidRPr="0071315B">
        <w:rPr>
          <w:b w:val="0"/>
        </w:rPr>
        <w:t>Esta deberá ser firmada por el representante legal</w:t>
      </w:r>
      <w:r w:rsidR="002D6BCF" w:rsidRPr="0071315B">
        <w:rPr>
          <w:b w:val="0"/>
        </w:rPr>
        <w:t xml:space="preserve">, </w:t>
      </w:r>
      <w:r w:rsidR="00230334" w:rsidRPr="0071315B">
        <w:rPr>
          <w:b w:val="0"/>
        </w:rPr>
        <w:t xml:space="preserve"> </w:t>
      </w:r>
      <w:r w:rsidR="00CB5049" w:rsidRPr="0071315B">
        <w:rPr>
          <w:b w:val="0"/>
        </w:rPr>
        <w:t>representante</w:t>
      </w:r>
      <w:r w:rsidR="00230334" w:rsidRPr="0071315B">
        <w:rPr>
          <w:b w:val="0"/>
        </w:rPr>
        <w:t xml:space="preserve"> del Sistema</w:t>
      </w:r>
      <w:r w:rsidR="007826F9">
        <w:rPr>
          <w:b w:val="0"/>
        </w:rPr>
        <w:t>, vocero</w:t>
      </w:r>
      <w:r w:rsidR="002D6BCF" w:rsidRPr="0071315B">
        <w:rPr>
          <w:b w:val="0"/>
        </w:rPr>
        <w:t xml:space="preserve"> o quien haga sus veces</w:t>
      </w:r>
      <w:r w:rsidR="00230334" w:rsidRPr="0071315B">
        <w:rPr>
          <w:b w:val="0"/>
        </w:rPr>
        <w:t>.</w:t>
      </w:r>
      <w:bookmarkEnd w:id="2"/>
      <w:bookmarkEnd w:id="3"/>
      <w:r w:rsidR="00230334" w:rsidRPr="0071315B">
        <w:rPr>
          <w:b w:val="0"/>
        </w:rPr>
        <w:t xml:space="preserve"> </w:t>
      </w:r>
    </w:p>
    <w:p w:rsidR="00550454" w:rsidRPr="0071315B" w:rsidRDefault="00550454" w:rsidP="006134A7">
      <w:pPr>
        <w:pStyle w:val="elementosist"/>
        <w:numPr>
          <w:ilvl w:val="0"/>
          <w:numId w:val="0"/>
        </w:numPr>
        <w:jc w:val="both"/>
        <w:rPr>
          <w:b w:val="0"/>
        </w:rPr>
      </w:pPr>
    </w:p>
    <w:p w:rsidR="00FC3C4B" w:rsidRPr="0071315B" w:rsidRDefault="00B32161" w:rsidP="00B32161">
      <w:pPr>
        <w:pStyle w:val="elementosist"/>
        <w:numPr>
          <w:ilvl w:val="0"/>
          <w:numId w:val="21"/>
        </w:numPr>
        <w:ind w:hanging="1080"/>
      </w:pPr>
      <w:bookmarkStart w:id="4" w:name="_Toc333477392"/>
      <w:r w:rsidRPr="0071315B">
        <w:t>IDENTIFICACIÓN DEL PRODUCTOR</w:t>
      </w:r>
      <w:bookmarkEnd w:id="4"/>
    </w:p>
    <w:p w:rsidR="009E47E9" w:rsidRPr="0071315B" w:rsidRDefault="009E47E9" w:rsidP="009E47E9">
      <w:pPr>
        <w:pStyle w:val="elementosist"/>
        <w:numPr>
          <w:ilvl w:val="0"/>
          <w:numId w:val="0"/>
        </w:numPr>
        <w:ind w:left="1080"/>
      </w:pPr>
    </w:p>
    <w:p w:rsidR="00FC3C4B" w:rsidRPr="0071315B" w:rsidRDefault="00CB5049" w:rsidP="0079039E">
      <w:pPr>
        <w:spacing w:line="252" w:lineRule="auto"/>
        <w:rPr>
          <w:rFonts w:cs="Arial"/>
          <w:color w:val="000000"/>
        </w:rPr>
      </w:pPr>
      <w:r w:rsidRPr="0071315B">
        <w:rPr>
          <w:rFonts w:cs="Arial"/>
          <w:color w:val="000000"/>
        </w:rPr>
        <w:t xml:space="preserve">Esta es la primera información que contiene el </w:t>
      </w:r>
      <w:r w:rsidR="00B62067">
        <w:rPr>
          <w:rFonts w:cs="Arial"/>
          <w:color w:val="000000"/>
        </w:rPr>
        <w:t>SRS</w:t>
      </w:r>
      <w:r w:rsidRPr="0071315B">
        <w:rPr>
          <w:rFonts w:cs="Arial"/>
          <w:color w:val="000000"/>
        </w:rPr>
        <w:t xml:space="preserve">, mediante la cual los productores se </w:t>
      </w:r>
      <w:r w:rsidR="00AE2DCE" w:rsidRPr="0071315B">
        <w:rPr>
          <w:rFonts w:cs="Arial"/>
          <w:color w:val="000000"/>
        </w:rPr>
        <w:t>identifican y describen su ubicación.</w:t>
      </w:r>
      <w:r w:rsidR="00651D11" w:rsidRPr="0071315B">
        <w:rPr>
          <w:rFonts w:cs="Arial"/>
          <w:color w:val="000000"/>
        </w:rPr>
        <w:t xml:space="preserve"> </w:t>
      </w:r>
      <w:r w:rsidR="00FC3C4B" w:rsidRPr="0071315B">
        <w:rPr>
          <w:rFonts w:cs="Arial"/>
          <w:color w:val="000000"/>
        </w:rPr>
        <w:t>La identificación se acredita mediante un certificado de existencia y representación legal, con fecha de expedición menor o igual a tres  (3) meses</w:t>
      </w:r>
      <w:r w:rsidR="007826F9">
        <w:rPr>
          <w:rFonts w:cs="Arial"/>
          <w:color w:val="000000"/>
        </w:rPr>
        <w:t xml:space="preserve"> a la presentación del SRS</w:t>
      </w:r>
      <w:r w:rsidR="00FC3C4B" w:rsidRPr="0071315B">
        <w:rPr>
          <w:rFonts w:cs="Arial"/>
          <w:color w:val="000000"/>
        </w:rPr>
        <w:t>. La ubicación se acredita mediante los siguientes datos básicos, generalmente incluidos en el certificado:</w:t>
      </w:r>
    </w:p>
    <w:p w:rsidR="00FC3C4B" w:rsidRPr="0071315B" w:rsidRDefault="00FC3C4B" w:rsidP="001C5FB6">
      <w:pPr>
        <w:spacing w:line="252" w:lineRule="auto"/>
        <w:rPr>
          <w:rFonts w:cs="Arial"/>
          <w:color w:val="000000"/>
        </w:rPr>
      </w:pPr>
    </w:p>
    <w:p w:rsidR="00FC3C4B" w:rsidRPr="0071315B" w:rsidRDefault="00FC3C4B" w:rsidP="001C5FB6">
      <w:pPr>
        <w:numPr>
          <w:ilvl w:val="0"/>
          <w:numId w:val="23"/>
        </w:numPr>
        <w:spacing w:line="252" w:lineRule="auto"/>
        <w:rPr>
          <w:rFonts w:cs="Arial"/>
          <w:color w:val="000000"/>
        </w:rPr>
      </w:pPr>
      <w:r w:rsidRPr="0071315B">
        <w:rPr>
          <w:rFonts w:cs="Arial"/>
          <w:color w:val="000000"/>
        </w:rPr>
        <w:t>Razón social (nombre de la empresa que coincide con el registrado en el certificado)</w:t>
      </w:r>
    </w:p>
    <w:p w:rsidR="00FC3C4B" w:rsidRPr="0071315B" w:rsidRDefault="00FC3C4B" w:rsidP="001C5FB6">
      <w:pPr>
        <w:numPr>
          <w:ilvl w:val="0"/>
          <w:numId w:val="23"/>
        </w:numPr>
        <w:spacing w:line="252" w:lineRule="auto"/>
        <w:rPr>
          <w:rFonts w:cs="Arial"/>
          <w:color w:val="000000"/>
        </w:rPr>
      </w:pPr>
      <w:r w:rsidRPr="0071315B">
        <w:rPr>
          <w:rFonts w:cs="Arial"/>
          <w:color w:val="000000"/>
        </w:rPr>
        <w:t>Nacionalidad</w:t>
      </w:r>
    </w:p>
    <w:p w:rsidR="00FC3C4B" w:rsidRPr="0071315B" w:rsidRDefault="00FC3C4B" w:rsidP="001C5FB6">
      <w:pPr>
        <w:numPr>
          <w:ilvl w:val="0"/>
          <w:numId w:val="23"/>
        </w:numPr>
        <w:spacing w:line="252" w:lineRule="auto"/>
        <w:rPr>
          <w:rFonts w:cs="Arial"/>
          <w:color w:val="000000"/>
        </w:rPr>
      </w:pPr>
      <w:r w:rsidRPr="0071315B">
        <w:rPr>
          <w:rFonts w:cs="Arial"/>
          <w:color w:val="000000"/>
        </w:rPr>
        <w:t>Tipo de productor (</w:t>
      </w:r>
      <w:r w:rsidR="00AE4D2A" w:rsidRPr="0071315B">
        <w:rPr>
          <w:rFonts w:cs="Arial"/>
          <w:color w:val="000000"/>
        </w:rPr>
        <w:t>Fabricante, importador y comerciante bajo su propia marca</w:t>
      </w:r>
      <w:r w:rsidRPr="0071315B">
        <w:rPr>
          <w:rFonts w:cs="Arial"/>
          <w:color w:val="000000"/>
        </w:rPr>
        <w:t>)</w:t>
      </w:r>
    </w:p>
    <w:p w:rsidR="00FC3C4B" w:rsidRPr="0071315B" w:rsidRDefault="00FC3C4B" w:rsidP="001C5FB6">
      <w:pPr>
        <w:numPr>
          <w:ilvl w:val="0"/>
          <w:numId w:val="23"/>
        </w:numPr>
        <w:spacing w:line="252" w:lineRule="auto"/>
        <w:rPr>
          <w:rFonts w:cs="Arial"/>
          <w:color w:val="000000"/>
        </w:rPr>
      </w:pPr>
      <w:r w:rsidRPr="0071315B">
        <w:rPr>
          <w:rFonts w:cs="Arial"/>
          <w:color w:val="000000"/>
        </w:rPr>
        <w:t>NIT</w:t>
      </w:r>
    </w:p>
    <w:p w:rsidR="00FC3C4B" w:rsidRPr="0071315B" w:rsidRDefault="00FC3C4B" w:rsidP="001C5FB6">
      <w:pPr>
        <w:numPr>
          <w:ilvl w:val="0"/>
          <w:numId w:val="23"/>
        </w:numPr>
        <w:spacing w:line="252" w:lineRule="auto"/>
        <w:rPr>
          <w:rFonts w:cs="Arial"/>
          <w:color w:val="000000"/>
        </w:rPr>
      </w:pPr>
      <w:r w:rsidRPr="0071315B">
        <w:rPr>
          <w:rFonts w:cs="Arial"/>
          <w:color w:val="000000"/>
        </w:rPr>
        <w:t>Dirección, municipio y departamento</w:t>
      </w:r>
    </w:p>
    <w:p w:rsidR="00FC3C4B" w:rsidRPr="0071315B" w:rsidRDefault="00FC3C4B" w:rsidP="001C5FB6">
      <w:pPr>
        <w:numPr>
          <w:ilvl w:val="0"/>
          <w:numId w:val="23"/>
        </w:numPr>
        <w:spacing w:line="252" w:lineRule="auto"/>
        <w:rPr>
          <w:rFonts w:cs="Arial"/>
          <w:color w:val="000000"/>
        </w:rPr>
      </w:pPr>
      <w:r w:rsidRPr="0071315B">
        <w:rPr>
          <w:rFonts w:cs="Arial"/>
          <w:color w:val="000000"/>
        </w:rPr>
        <w:t>Teléfono de contacto.</w:t>
      </w:r>
    </w:p>
    <w:p w:rsidR="00FC3C4B" w:rsidRPr="0071315B" w:rsidRDefault="00FC3C4B" w:rsidP="007F1669">
      <w:pPr>
        <w:spacing w:line="252" w:lineRule="auto"/>
        <w:rPr>
          <w:rFonts w:cs="Arial"/>
          <w:color w:val="000000"/>
        </w:rPr>
      </w:pPr>
    </w:p>
    <w:p w:rsidR="00FC3C4B" w:rsidRPr="0071315B" w:rsidRDefault="00550454" w:rsidP="007F1669">
      <w:pPr>
        <w:spacing w:line="252" w:lineRule="auto"/>
        <w:rPr>
          <w:rFonts w:cs="Arial"/>
          <w:color w:val="000000"/>
        </w:rPr>
      </w:pPr>
      <w:r w:rsidRPr="0071315B">
        <w:rPr>
          <w:rFonts w:cs="Arial"/>
          <w:color w:val="000000"/>
        </w:rPr>
        <w:t>Este requisito</w:t>
      </w:r>
      <w:r w:rsidR="00FC3C4B" w:rsidRPr="0071315B">
        <w:rPr>
          <w:rFonts w:cs="Arial"/>
          <w:color w:val="000000"/>
        </w:rPr>
        <w:t xml:space="preserve"> se extiende </w:t>
      </w:r>
      <w:r w:rsidRPr="0071315B">
        <w:rPr>
          <w:rFonts w:cs="Arial"/>
          <w:color w:val="000000"/>
        </w:rPr>
        <w:t>a todos los</w:t>
      </w:r>
      <w:r w:rsidR="00FC3C4B" w:rsidRPr="0071315B">
        <w:rPr>
          <w:rFonts w:cs="Arial"/>
          <w:color w:val="000000"/>
        </w:rPr>
        <w:t xml:space="preserve"> productores vin</w:t>
      </w:r>
      <w:r w:rsidRPr="0071315B">
        <w:rPr>
          <w:rFonts w:cs="Arial"/>
          <w:color w:val="000000"/>
        </w:rPr>
        <w:t xml:space="preserve">culados en un </w:t>
      </w:r>
      <w:r w:rsidR="007826F9">
        <w:rPr>
          <w:rFonts w:cs="Arial"/>
          <w:color w:val="000000"/>
        </w:rPr>
        <w:t>SRS</w:t>
      </w:r>
      <w:r w:rsidR="007826F9" w:rsidRPr="0071315B">
        <w:rPr>
          <w:rFonts w:cs="Arial"/>
          <w:color w:val="000000"/>
        </w:rPr>
        <w:t xml:space="preserve"> </w:t>
      </w:r>
      <w:r w:rsidRPr="0071315B">
        <w:rPr>
          <w:rFonts w:cs="Arial"/>
          <w:color w:val="000000"/>
        </w:rPr>
        <w:t>colectivo y</w:t>
      </w:r>
      <w:r w:rsidR="009F4B8E" w:rsidRPr="0071315B">
        <w:rPr>
          <w:rFonts w:cs="Arial"/>
          <w:color w:val="000000"/>
        </w:rPr>
        <w:t xml:space="preserve"> </w:t>
      </w:r>
      <w:r w:rsidRPr="0071315B">
        <w:rPr>
          <w:rFonts w:cs="Arial"/>
          <w:color w:val="000000"/>
        </w:rPr>
        <w:t>p</w:t>
      </w:r>
      <w:r w:rsidR="00FC3C4B" w:rsidRPr="0071315B">
        <w:rPr>
          <w:rFonts w:cs="Arial"/>
          <w:color w:val="000000"/>
        </w:rPr>
        <w:t xml:space="preserve">ara el caso de un acuerdo de productores, es necesario incluir </w:t>
      </w:r>
      <w:r w:rsidR="007826F9">
        <w:rPr>
          <w:rFonts w:cs="Arial"/>
          <w:color w:val="000000"/>
        </w:rPr>
        <w:t>los</w:t>
      </w:r>
      <w:r w:rsidR="007826F9" w:rsidRPr="0071315B">
        <w:rPr>
          <w:rFonts w:cs="Arial"/>
          <w:color w:val="000000"/>
        </w:rPr>
        <w:t xml:space="preserve"> </w:t>
      </w:r>
      <w:r w:rsidR="00FC3C4B" w:rsidRPr="0071315B">
        <w:rPr>
          <w:rFonts w:cs="Arial"/>
          <w:color w:val="000000"/>
        </w:rPr>
        <w:t>documento</w:t>
      </w:r>
      <w:r w:rsidR="007826F9">
        <w:rPr>
          <w:rFonts w:cs="Arial"/>
          <w:color w:val="000000"/>
        </w:rPr>
        <w:t>s</w:t>
      </w:r>
      <w:r w:rsidR="00FC3C4B" w:rsidRPr="0071315B">
        <w:rPr>
          <w:rFonts w:cs="Arial"/>
          <w:color w:val="000000"/>
        </w:rPr>
        <w:t xml:space="preserve"> que pone</w:t>
      </w:r>
      <w:r w:rsidR="007826F9">
        <w:rPr>
          <w:rFonts w:cs="Arial"/>
          <w:color w:val="000000"/>
        </w:rPr>
        <w:t>n</w:t>
      </w:r>
      <w:r w:rsidR="00FC3C4B" w:rsidRPr="0071315B">
        <w:rPr>
          <w:rFonts w:cs="Arial"/>
          <w:color w:val="000000"/>
        </w:rPr>
        <w:t xml:space="preserve"> de manifiesto la voluntad de </w:t>
      </w:r>
      <w:r w:rsidR="007826F9">
        <w:rPr>
          <w:rFonts w:cs="Arial"/>
          <w:color w:val="000000"/>
        </w:rPr>
        <w:t xml:space="preserve">cada productor de </w:t>
      </w:r>
      <w:r w:rsidR="00FC3C4B" w:rsidRPr="0071315B">
        <w:rPr>
          <w:rFonts w:cs="Arial"/>
          <w:color w:val="000000"/>
        </w:rPr>
        <w:t xml:space="preserve">pertenecer al </w:t>
      </w:r>
      <w:r w:rsidR="007826F9">
        <w:rPr>
          <w:rFonts w:cs="Arial"/>
          <w:color w:val="000000"/>
        </w:rPr>
        <w:t>SRS</w:t>
      </w:r>
      <w:r w:rsidR="007826F9" w:rsidRPr="0071315B">
        <w:rPr>
          <w:rFonts w:cs="Arial"/>
          <w:color w:val="000000"/>
        </w:rPr>
        <w:t xml:space="preserve"> </w:t>
      </w:r>
      <w:r w:rsidR="00FC3C4B" w:rsidRPr="0071315B">
        <w:rPr>
          <w:rFonts w:cs="Arial"/>
          <w:color w:val="000000"/>
        </w:rPr>
        <w:t xml:space="preserve">colectivo, firmada por el </w:t>
      </w:r>
      <w:r w:rsidR="007826F9">
        <w:rPr>
          <w:rFonts w:cs="Arial"/>
          <w:color w:val="000000"/>
        </w:rPr>
        <w:t xml:space="preserve">respectivo </w:t>
      </w:r>
      <w:r w:rsidR="00FC3C4B" w:rsidRPr="0071315B">
        <w:rPr>
          <w:rFonts w:cs="Arial"/>
          <w:color w:val="000000"/>
        </w:rPr>
        <w:t>representante legal o quien haga sus veces.</w:t>
      </w:r>
    </w:p>
    <w:p w:rsidR="00550454" w:rsidRPr="0071315B" w:rsidRDefault="00550454" w:rsidP="007F1669">
      <w:pPr>
        <w:spacing w:line="252" w:lineRule="auto"/>
        <w:rPr>
          <w:rFonts w:cs="Arial"/>
          <w:color w:val="000000"/>
        </w:rPr>
      </w:pPr>
    </w:p>
    <w:p w:rsidR="00550454" w:rsidRPr="0071315B" w:rsidRDefault="00FC3C4B" w:rsidP="00550454">
      <w:pPr>
        <w:spacing w:line="252" w:lineRule="auto"/>
        <w:rPr>
          <w:rFonts w:cs="Arial"/>
          <w:color w:val="000000"/>
        </w:rPr>
      </w:pPr>
      <w:r w:rsidRPr="0071315B">
        <w:rPr>
          <w:rFonts w:cs="Arial"/>
          <w:color w:val="000000"/>
        </w:rPr>
        <w:t xml:space="preserve">Los </w:t>
      </w:r>
      <w:r w:rsidR="007826F9">
        <w:rPr>
          <w:rFonts w:cs="Arial"/>
          <w:color w:val="000000"/>
        </w:rPr>
        <w:t>SRS</w:t>
      </w:r>
      <w:r w:rsidR="007826F9" w:rsidRPr="0071315B">
        <w:rPr>
          <w:rFonts w:cs="Arial"/>
          <w:color w:val="000000"/>
        </w:rPr>
        <w:t xml:space="preserve"> </w:t>
      </w:r>
      <w:r w:rsidRPr="0071315B">
        <w:rPr>
          <w:rFonts w:cs="Arial"/>
          <w:color w:val="000000"/>
        </w:rPr>
        <w:t>colectivos periódicamente podrán actualizar el listado de las empresas que hacen parte del mismo, mediante comunicación escrita firmada por el vocero o representante del mismo, allegando los documentos que soportan la participación de cada productor</w:t>
      </w:r>
      <w:r w:rsidR="00550454" w:rsidRPr="0071315B">
        <w:rPr>
          <w:rFonts w:cs="Arial"/>
          <w:color w:val="000000"/>
        </w:rPr>
        <w:t>.</w:t>
      </w:r>
      <w:r w:rsidRPr="0071315B">
        <w:rPr>
          <w:rFonts w:cs="Arial"/>
          <w:color w:val="000000"/>
        </w:rPr>
        <w:t xml:space="preserve"> </w:t>
      </w:r>
    </w:p>
    <w:p w:rsidR="00550454" w:rsidRPr="0071315B" w:rsidRDefault="00550454" w:rsidP="00550454">
      <w:pPr>
        <w:spacing w:line="252" w:lineRule="auto"/>
        <w:rPr>
          <w:rFonts w:cs="Arial"/>
          <w:color w:val="000000"/>
        </w:rPr>
      </w:pPr>
    </w:p>
    <w:p w:rsidR="00550454" w:rsidRPr="0071315B" w:rsidRDefault="00550454" w:rsidP="00550454">
      <w:pPr>
        <w:pStyle w:val="elementosist"/>
        <w:numPr>
          <w:ilvl w:val="0"/>
          <w:numId w:val="21"/>
        </w:numPr>
        <w:ind w:hanging="1080"/>
      </w:pPr>
      <w:bookmarkStart w:id="5" w:name="_Toc333477393"/>
      <w:r w:rsidRPr="0071315B">
        <w:t>IDENTIFICACIÓN DEL OPERADOR DEL SISTEMA</w:t>
      </w:r>
      <w:bookmarkEnd w:id="5"/>
    </w:p>
    <w:p w:rsidR="00FC3C4B" w:rsidRPr="0071315B" w:rsidRDefault="00FC3C4B" w:rsidP="007F1669">
      <w:pPr>
        <w:spacing w:line="252" w:lineRule="auto"/>
        <w:rPr>
          <w:rFonts w:cs="Arial"/>
          <w:color w:val="000000"/>
        </w:rPr>
      </w:pPr>
    </w:p>
    <w:p w:rsidR="00FC3C4B" w:rsidRPr="0071315B" w:rsidRDefault="00FC3C4B" w:rsidP="007F1669">
      <w:pPr>
        <w:spacing w:line="252" w:lineRule="auto"/>
        <w:rPr>
          <w:rFonts w:cs="Arial"/>
          <w:color w:val="000000"/>
        </w:rPr>
      </w:pPr>
      <w:r w:rsidRPr="0071315B">
        <w:rPr>
          <w:rFonts w:cs="Arial"/>
          <w:color w:val="000000"/>
        </w:rPr>
        <w:t xml:space="preserve">Para tal efecto </w:t>
      </w:r>
      <w:r w:rsidRPr="0071315B">
        <w:rPr>
          <w:rFonts w:cs="Arial"/>
          <w:b/>
          <w:color w:val="000000"/>
        </w:rPr>
        <w:t>operador</w:t>
      </w:r>
      <w:r w:rsidR="00550454" w:rsidRPr="0071315B">
        <w:rPr>
          <w:rFonts w:cs="Arial"/>
          <w:b/>
          <w:color w:val="000000"/>
        </w:rPr>
        <w:t>,</w:t>
      </w:r>
      <w:r w:rsidRPr="0071315B">
        <w:rPr>
          <w:rFonts w:cs="Arial"/>
          <w:color w:val="000000"/>
        </w:rPr>
        <w:t xml:space="preserve"> se entiende como aquella persona</w:t>
      </w:r>
      <w:r w:rsidR="00550454" w:rsidRPr="0071315B">
        <w:rPr>
          <w:rFonts w:cs="Arial"/>
          <w:color w:val="000000"/>
        </w:rPr>
        <w:t xml:space="preserve"> natural o jurídica,</w:t>
      </w:r>
      <w:r w:rsidRPr="0071315B">
        <w:rPr>
          <w:rFonts w:cs="Arial"/>
          <w:color w:val="000000"/>
        </w:rPr>
        <w:t xml:space="preserve"> encargada de las actividades de planeación, implementación y </w:t>
      </w:r>
      <w:r w:rsidR="004D7EB7" w:rsidRPr="0071315B">
        <w:rPr>
          <w:rFonts w:cs="Arial"/>
          <w:color w:val="000000"/>
        </w:rPr>
        <w:t xml:space="preserve">ejecución del </w:t>
      </w:r>
      <w:r w:rsidR="005F7A18">
        <w:rPr>
          <w:rFonts w:cs="Arial"/>
          <w:color w:val="000000"/>
        </w:rPr>
        <w:t>SRS</w:t>
      </w:r>
      <w:r w:rsidR="004D7EB7" w:rsidRPr="0071315B">
        <w:rPr>
          <w:rFonts w:cs="Arial"/>
          <w:color w:val="000000"/>
        </w:rPr>
        <w:t xml:space="preserve">, garantizando </w:t>
      </w:r>
      <w:r w:rsidRPr="0071315B">
        <w:rPr>
          <w:rFonts w:cs="Arial"/>
          <w:color w:val="000000"/>
        </w:rPr>
        <w:t>la recolección</w:t>
      </w:r>
      <w:r w:rsidR="004D7EB7" w:rsidRPr="0071315B">
        <w:rPr>
          <w:rFonts w:cs="Arial"/>
          <w:color w:val="000000"/>
        </w:rPr>
        <w:t>,</w:t>
      </w:r>
      <w:r w:rsidRPr="0071315B">
        <w:rPr>
          <w:rFonts w:cs="Arial"/>
          <w:color w:val="000000"/>
        </w:rPr>
        <w:t xml:space="preserve"> </w:t>
      </w:r>
      <w:r w:rsidR="004D7EB7" w:rsidRPr="0071315B">
        <w:rPr>
          <w:rFonts w:cs="Arial"/>
          <w:color w:val="000000"/>
        </w:rPr>
        <w:t>el transporte y gestión adecuada de los residuos de pilas y/o acumuladores, además de la generación y procesamiento de la información necesaria para el correcto funcionamiento de este</w:t>
      </w:r>
      <w:r w:rsidR="005F7A18">
        <w:rPr>
          <w:rFonts w:cs="Arial"/>
          <w:color w:val="000000"/>
        </w:rPr>
        <w:t>.</w:t>
      </w:r>
      <w:r w:rsidR="004D7EB7" w:rsidRPr="0071315B">
        <w:rPr>
          <w:rFonts w:cs="Arial"/>
          <w:color w:val="000000"/>
        </w:rPr>
        <w:t xml:space="preserve"> </w:t>
      </w:r>
      <w:r w:rsidR="005F7A18">
        <w:rPr>
          <w:rFonts w:cs="Arial"/>
          <w:color w:val="000000"/>
        </w:rPr>
        <w:t>D</w:t>
      </w:r>
      <w:r w:rsidR="005F7A18" w:rsidRPr="0071315B">
        <w:rPr>
          <w:rFonts w:cs="Arial"/>
          <w:color w:val="000000"/>
        </w:rPr>
        <w:t xml:space="preserve">ichas </w:t>
      </w:r>
      <w:r w:rsidR="004D7EB7" w:rsidRPr="0071315B">
        <w:rPr>
          <w:rFonts w:cs="Arial"/>
          <w:color w:val="000000"/>
        </w:rPr>
        <w:t>actividades</w:t>
      </w:r>
      <w:r w:rsidRPr="0071315B">
        <w:rPr>
          <w:rFonts w:cs="Arial"/>
          <w:color w:val="000000"/>
        </w:rPr>
        <w:t xml:space="preserve"> </w:t>
      </w:r>
      <w:r w:rsidR="004D7EB7" w:rsidRPr="0071315B">
        <w:rPr>
          <w:rFonts w:cs="Arial"/>
          <w:color w:val="000000"/>
        </w:rPr>
        <w:t>p</w:t>
      </w:r>
      <w:r w:rsidRPr="0071315B">
        <w:rPr>
          <w:rFonts w:cs="Arial"/>
          <w:color w:val="000000"/>
        </w:rPr>
        <w:t>uede desarrolla</w:t>
      </w:r>
      <w:r w:rsidR="004D7EB7" w:rsidRPr="0071315B">
        <w:rPr>
          <w:rFonts w:cs="Arial"/>
          <w:color w:val="000000"/>
        </w:rPr>
        <w:t>rlas</w:t>
      </w:r>
      <w:r w:rsidRPr="0071315B">
        <w:rPr>
          <w:rFonts w:cs="Arial"/>
          <w:color w:val="000000"/>
        </w:rPr>
        <w:t xml:space="preserve"> directamente o a través de subcontratación de empresas especializadas.</w:t>
      </w:r>
    </w:p>
    <w:p w:rsidR="00FC3C4B" w:rsidRPr="0071315B" w:rsidRDefault="00FC3C4B" w:rsidP="007F1669">
      <w:pPr>
        <w:spacing w:line="252" w:lineRule="auto"/>
        <w:rPr>
          <w:rFonts w:cs="Arial"/>
          <w:color w:val="000000"/>
        </w:rPr>
      </w:pPr>
    </w:p>
    <w:p w:rsidR="004D7EB7" w:rsidRPr="0071315B" w:rsidRDefault="004D7EB7" w:rsidP="0079039E">
      <w:pPr>
        <w:spacing w:line="252" w:lineRule="auto"/>
        <w:rPr>
          <w:rFonts w:cs="Arial"/>
          <w:color w:val="000000"/>
        </w:rPr>
      </w:pPr>
      <w:r w:rsidRPr="0071315B">
        <w:rPr>
          <w:rFonts w:cs="Arial"/>
          <w:color w:val="000000"/>
        </w:rPr>
        <w:t xml:space="preserve">De acuerdo con la anterior definición, si el </w:t>
      </w:r>
      <w:r w:rsidR="005F7A18">
        <w:rPr>
          <w:rFonts w:cs="Arial"/>
          <w:color w:val="000000"/>
        </w:rPr>
        <w:t>SRS</w:t>
      </w:r>
      <w:r w:rsidR="005F7A18" w:rsidRPr="0071315B">
        <w:rPr>
          <w:rFonts w:cs="Arial"/>
          <w:color w:val="000000"/>
        </w:rPr>
        <w:t xml:space="preserve"> </w:t>
      </w:r>
      <w:r w:rsidRPr="0071315B">
        <w:rPr>
          <w:rFonts w:cs="Arial"/>
          <w:color w:val="000000"/>
        </w:rPr>
        <w:t>contempla dentro de su logística la contratación de un operador, deberá indicar la identificación y domicilio de este</w:t>
      </w:r>
      <w:r w:rsidR="00DD2778" w:rsidRPr="0071315B">
        <w:rPr>
          <w:rFonts w:cs="Arial"/>
          <w:color w:val="000000"/>
        </w:rPr>
        <w:t>, mediante la siguiente información</w:t>
      </w:r>
      <w:r w:rsidRPr="0071315B">
        <w:rPr>
          <w:rFonts w:cs="Arial"/>
          <w:color w:val="000000"/>
        </w:rPr>
        <w:t>:</w:t>
      </w:r>
    </w:p>
    <w:p w:rsidR="00921850" w:rsidRPr="0071315B" w:rsidRDefault="00921850" w:rsidP="0079039E">
      <w:pPr>
        <w:spacing w:line="252" w:lineRule="auto"/>
        <w:rPr>
          <w:rFonts w:cs="Arial"/>
          <w:color w:val="000000"/>
        </w:rPr>
      </w:pPr>
    </w:p>
    <w:p w:rsidR="00921850" w:rsidRPr="0071315B" w:rsidRDefault="00921850" w:rsidP="00921850">
      <w:pPr>
        <w:numPr>
          <w:ilvl w:val="0"/>
          <w:numId w:val="23"/>
        </w:numPr>
        <w:spacing w:line="252" w:lineRule="auto"/>
        <w:rPr>
          <w:rFonts w:cs="Arial"/>
          <w:color w:val="000000"/>
        </w:rPr>
      </w:pPr>
      <w:r w:rsidRPr="0071315B">
        <w:rPr>
          <w:rFonts w:cs="Arial"/>
          <w:color w:val="000000"/>
        </w:rPr>
        <w:t xml:space="preserve">Nombre de la empresa </w:t>
      </w:r>
      <w:r w:rsidR="00DD2778" w:rsidRPr="0071315B">
        <w:rPr>
          <w:rFonts w:cs="Arial"/>
          <w:color w:val="000000"/>
        </w:rPr>
        <w:t>o persona jurídica</w:t>
      </w:r>
    </w:p>
    <w:p w:rsidR="00921850" w:rsidRPr="0071315B" w:rsidRDefault="00921850" w:rsidP="00921850">
      <w:pPr>
        <w:numPr>
          <w:ilvl w:val="0"/>
          <w:numId w:val="23"/>
        </w:numPr>
        <w:spacing w:line="252" w:lineRule="auto"/>
        <w:rPr>
          <w:rFonts w:cs="Arial"/>
          <w:color w:val="000000"/>
        </w:rPr>
      </w:pPr>
      <w:r w:rsidRPr="0071315B">
        <w:rPr>
          <w:rFonts w:cs="Arial"/>
          <w:color w:val="000000"/>
        </w:rPr>
        <w:t>NIT</w:t>
      </w:r>
    </w:p>
    <w:p w:rsidR="00921850" w:rsidRPr="0071315B" w:rsidRDefault="00921850" w:rsidP="00921850">
      <w:pPr>
        <w:numPr>
          <w:ilvl w:val="0"/>
          <w:numId w:val="23"/>
        </w:numPr>
        <w:spacing w:line="252" w:lineRule="auto"/>
        <w:rPr>
          <w:rFonts w:cs="Arial"/>
          <w:color w:val="000000"/>
        </w:rPr>
      </w:pPr>
      <w:r w:rsidRPr="0071315B">
        <w:rPr>
          <w:rFonts w:cs="Arial"/>
          <w:color w:val="000000"/>
        </w:rPr>
        <w:t xml:space="preserve">Dirección, municipio y departamento </w:t>
      </w:r>
    </w:p>
    <w:p w:rsidR="00FC3C4B" w:rsidRPr="0071315B" w:rsidRDefault="00921850" w:rsidP="00921850">
      <w:pPr>
        <w:numPr>
          <w:ilvl w:val="0"/>
          <w:numId w:val="23"/>
        </w:numPr>
        <w:spacing w:line="252" w:lineRule="auto"/>
        <w:rPr>
          <w:rFonts w:cs="Arial"/>
          <w:color w:val="000000"/>
        </w:rPr>
      </w:pPr>
      <w:r w:rsidRPr="0071315B">
        <w:rPr>
          <w:rFonts w:cs="Arial"/>
          <w:color w:val="000000"/>
        </w:rPr>
        <w:t>Teléfono de contacto.</w:t>
      </w:r>
    </w:p>
    <w:p w:rsidR="00921850" w:rsidRDefault="00921850" w:rsidP="00921850">
      <w:pPr>
        <w:spacing w:line="252" w:lineRule="auto"/>
        <w:ind w:left="720"/>
        <w:rPr>
          <w:rFonts w:cs="Arial"/>
          <w:color w:val="000000"/>
        </w:rPr>
      </w:pPr>
    </w:p>
    <w:p w:rsidR="00AF2B0E" w:rsidRDefault="00AF2B0E" w:rsidP="00921850">
      <w:pPr>
        <w:spacing w:line="252" w:lineRule="auto"/>
        <w:ind w:left="720"/>
        <w:rPr>
          <w:rFonts w:cs="Arial"/>
          <w:color w:val="000000"/>
        </w:rPr>
      </w:pPr>
    </w:p>
    <w:p w:rsidR="00AF2B0E" w:rsidRPr="0071315B" w:rsidRDefault="00AF2B0E" w:rsidP="00921850">
      <w:pPr>
        <w:spacing w:line="252" w:lineRule="auto"/>
        <w:ind w:left="720"/>
        <w:rPr>
          <w:rFonts w:cs="Arial"/>
          <w:color w:val="000000"/>
        </w:rPr>
      </w:pPr>
    </w:p>
    <w:p w:rsidR="00921850" w:rsidRPr="0071315B" w:rsidRDefault="00921850" w:rsidP="00921850">
      <w:pPr>
        <w:pStyle w:val="elementosist"/>
        <w:numPr>
          <w:ilvl w:val="0"/>
          <w:numId w:val="21"/>
        </w:numPr>
        <w:ind w:hanging="1080"/>
      </w:pPr>
      <w:bookmarkStart w:id="6" w:name="_Toc333477394"/>
      <w:r w:rsidRPr="0071315B">
        <w:t xml:space="preserve">INFORMACIÓN </w:t>
      </w:r>
      <w:r w:rsidR="00F91EE3" w:rsidRPr="0071315B">
        <w:t xml:space="preserve">ESPECIFICA </w:t>
      </w:r>
      <w:r w:rsidRPr="0071315B">
        <w:t>SOBRE LOS PRODUCTOS</w:t>
      </w:r>
      <w:bookmarkEnd w:id="6"/>
    </w:p>
    <w:p w:rsidR="000A5CBD" w:rsidRPr="0071315B" w:rsidRDefault="000A5CBD" w:rsidP="0079039E">
      <w:pPr>
        <w:spacing w:line="252" w:lineRule="auto"/>
        <w:rPr>
          <w:rFonts w:cs="Arial"/>
          <w:color w:val="000000"/>
        </w:rPr>
      </w:pPr>
    </w:p>
    <w:p w:rsidR="00FC3C4B" w:rsidRPr="0071315B" w:rsidRDefault="008E4DAD" w:rsidP="0079039E">
      <w:pPr>
        <w:spacing w:line="252" w:lineRule="auto"/>
        <w:rPr>
          <w:rFonts w:cs="Arial"/>
          <w:color w:val="000000"/>
        </w:rPr>
      </w:pPr>
      <w:r w:rsidRPr="0071315B">
        <w:rPr>
          <w:rFonts w:cs="Arial"/>
          <w:color w:val="000000"/>
        </w:rPr>
        <w:t xml:space="preserve">En este, ítem se contempla la descripción </w:t>
      </w:r>
      <w:r w:rsidR="00F2002E" w:rsidRPr="0071315B">
        <w:rPr>
          <w:rFonts w:cs="Arial"/>
          <w:color w:val="000000"/>
        </w:rPr>
        <w:t>específica</w:t>
      </w:r>
      <w:r w:rsidRPr="0071315B">
        <w:rPr>
          <w:rFonts w:cs="Arial"/>
          <w:color w:val="000000"/>
        </w:rPr>
        <w:t xml:space="preserve"> de los productos de pilas y/o acumuladores comercializados </w:t>
      </w:r>
      <w:r w:rsidR="00DD2778" w:rsidRPr="0071315B">
        <w:rPr>
          <w:rFonts w:cs="Arial"/>
          <w:color w:val="000000"/>
        </w:rPr>
        <w:t xml:space="preserve">por los productores </w:t>
      </w:r>
      <w:r w:rsidRPr="0071315B">
        <w:rPr>
          <w:rFonts w:cs="Arial"/>
          <w:color w:val="000000"/>
        </w:rPr>
        <w:t>en el país, para lo cual se</w:t>
      </w:r>
      <w:r w:rsidR="00F91EE3" w:rsidRPr="0071315B">
        <w:rPr>
          <w:rFonts w:cs="Arial"/>
          <w:color w:val="000000"/>
        </w:rPr>
        <w:t xml:space="preserve"> deberá</w:t>
      </w:r>
      <w:r w:rsidR="00105037" w:rsidRPr="0071315B">
        <w:rPr>
          <w:rFonts w:cs="Arial"/>
          <w:color w:val="000000"/>
        </w:rPr>
        <w:t xml:space="preserve"> presentar, </w:t>
      </w:r>
      <w:r w:rsidR="00105037" w:rsidRPr="00DE501B">
        <w:rPr>
          <w:rFonts w:cs="Arial"/>
          <w:b/>
          <w:color w:val="000000"/>
        </w:rPr>
        <w:t>para cada uno de los dos años anteriores</w:t>
      </w:r>
      <w:r w:rsidR="00105037" w:rsidRPr="0071315B">
        <w:rPr>
          <w:rFonts w:cs="Arial"/>
          <w:color w:val="000000"/>
        </w:rPr>
        <w:t xml:space="preserve"> a la radicación del </w:t>
      </w:r>
      <w:r w:rsidR="00B62067">
        <w:rPr>
          <w:rFonts w:cs="Arial"/>
          <w:color w:val="000000"/>
        </w:rPr>
        <w:t>SRS</w:t>
      </w:r>
      <w:r w:rsidR="00105037" w:rsidRPr="0071315B">
        <w:rPr>
          <w:rFonts w:cs="Arial"/>
          <w:color w:val="000000"/>
        </w:rPr>
        <w:t>,</w:t>
      </w:r>
      <w:r w:rsidR="00FC3C4B" w:rsidRPr="0071315B">
        <w:rPr>
          <w:rFonts w:cs="Arial"/>
          <w:color w:val="000000"/>
        </w:rPr>
        <w:t xml:space="preserve"> los siguientes elementos:</w:t>
      </w:r>
    </w:p>
    <w:p w:rsidR="00FC3C4B" w:rsidRPr="0071315B" w:rsidRDefault="00FC3C4B" w:rsidP="0079039E">
      <w:pPr>
        <w:spacing w:line="252" w:lineRule="auto"/>
        <w:rPr>
          <w:rFonts w:cs="Arial"/>
          <w:color w:val="000000"/>
        </w:rPr>
      </w:pPr>
    </w:p>
    <w:p w:rsidR="00105037" w:rsidRPr="0071315B" w:rsidRDefault="00FC3C4B" w:rsidP="00355B25">
      <w:pPr>
        <w:numPr>
          <w:ilvl w:val="0"/>
          <w:numId w:val="4"/>
        </w:numPr>
        <w:spacing w:line="252" w:lineRule="auto"/>
        <w:rPr>
          <w:rFonts w:cs="Arial"/>
          <w:color w:val="000000"/>
        </w:rPr>
      </w:pPr>
      <w:r w:rsidRPr="0071315B">
        <w:rPr>
          <w:rFonts w:cs="Arial"/>
          <w:color w:val="000000"/>
        </w:rPr>
        <w:t xml:space="preserve">Tipo de productos: </w:t>
      </w:r>
      <w:r w:rsidR="00105037" w:rsidRPr="0071315B">
        <w:rPr>
          <w:rFonts w:cs="Arial"/>
          <w:color w:val="000000"/>
        </w:rPr>
        <w:t>(</w:t>
      </w:r>
      <w:r w:rsidRPr="0071315B">
        <w:rPr>
          <w:rFonts w:cs="Arial"/>
          <w:color w:val="000000"/>
        </w:rPr>
        <w:t xml:space="preserve">discriminados según el </w:t>
      </w:r>
      <w:r w:rsidR="00105037" w:rsidRPr="0071315B">
        <w:rPr>
          <w:rFonts w:cs="Arial"/>
          <w:color w:val="000000"/>
        </w:rPr>
        <w:t>artículo segundo de la Resolución 1297 de 2010</w:t>
      </w:r>
      <w:r w:rsidR="000A5CBD" w:rsidRPr="0071315B">
        <w:rPr>
          <w:rFonts w:cs="Arial"/>
          <w:color w:val="000000"/>
        </w:rPr>
        <w:t>)</w:t>
      </w:r>
      <w:r w:rsidR="00105037" w:rsidRPr="0071315B">
        <w:rPr>
          <w:rFonts w:cs="Arial"/>
          <w:color w:val="000000"/>
        </w:rPr>
        <w:t>.</w:t>
      </w:r>
    </w:p>
    <w:p w:rsidR="00FC3C4B" w:rsidRPr="0071315B" w:rsidRDefault="00105037" w:rsidP="00355B25">
      <w:pPr>
        <w:numPr>
          <w:ilvl w:val="0"/>
          <w:numId w:val="4"/>
        </w:numPr>
        <w:spacing w:line="252" w:lineRule="auto"/>
        <w:rPr>
          <w:rFonts w:cs="Arial"/>
          <w:color w:val="000000"/>
        </w:rPr>
      </w:pPr>
      <w:r w:rsidRPr="0071315B">
        <w:rPr>
          <w:rFonts w:cs="Arial"/>
          <w:color w:val="000000"/>
        </w:rPr>
        <w:t>Peso</w:t>
      </w:r>
      <w:r w:rsidR="00B62067">
        <w:rPr>
          <w:rFonts w:cs="Arial"/>
          <w:color w:val="000000"/>
        </w:rPr>
        <w:t xml:space="preserve"> unitario (gr/unidad o kg/unidad) y peso total</w:t>
      </w:r>
      <w:r w:rsidRPr="0071315B">
        <w:rPr>
          <w:rFonts w:cs="Arial"/>
          <w:color w:val="000000"/>
        </w:rPr>
        <w:t xml:space="preserve"> (kg o toneladas).</w:t>
      </w:r>
    </w:p>
    <w:p w:rsidR="00FC3C4B" w:rsidRPr="0071315B" w:rsidRDefault="00FC3C4B" w:rsidP="00355B25">
      <w:pPr>
        <w:numPr>
          <w:ilvl w:val="0"/>
          <w:numId w:val="4"/>
        </w:numPr>
        <w:spacing w:line="252" w:lineRule="auto"/>
        <w:rPr>
          <w:rFonts w:cs="Arial"/>
          <w:color w:val="000000"/>
        </w:rPr>
      </w:pPr>
      <w:r w:rsidRPr="0071315B">
        <w:rPr>
          <w:rFonts w:cs="Arial"/>
          <w:color w:val="000000"/>
        </w:rPr>
        <w:t>Unidades puestas en el mercado</w:t>
      </w:r>
      <w:r w:rsidR="000A5CBD" w:rsidRPr="0071315B">
        <w:rPr>
          <w:rFonts w:cs="Arial"/>
          <w:color w:val="000000"/>
        </w:rPr>
        <w:t xml:space="preserve"> (unidades comercializadas o vendidas).</w:t>
      </w:r>
    </w:p>
    <w:p w:rsidR="00FC3C4B" w:rsidRPr="0071315B" w:rsidRDefault="00FC3C4B" w:rsidP="0079039E">
      <w:pPr>
        <w:spacing w:line="252" w:lineRule="auto"/>
        <w:rPr>
          <w:rFonts w:cs="Arial"/>
          <w:color w:val="000000"/>
        </w:rPr>
      </w:pPr>
    </w:p>
    <w:p w:rsidR="00FC3C4B" w:rsidRPr="0071315B" w:rsidRDefault="000A5CBD" w:rsidP="0079039E">
      <w:pPr>
        <w:spacing w:line="252" w:lineRule="auto"/>
        <w:rPr>
          <w:rFonts w:cs="Arial"/>
          <w:color w:val="000000"/>
        </w:rPr>
      </w:pPr>
      <w:r w:rsidRPr="0071315B">
        <w:rPr>
          <w:rFonts w:cs="Arial"/>
          <w:color w:val="000000"/>
        </w:rPr>
        <w:t>Para el caso de Sistemas colectivos, esta información se requiere por cada productor y consolidada para la totalidad de los participantes.</w:t>
      </w:r>
      <w:r w:rsidR="008E4DAD" w:rsidRPr="0071315B">
        <w:rPr>
          <w:rFonts w:cs="Arial"/>
          <w:color w:val="000000"/>
        </w:rPr>
        <w:t xml:space="preserve"> Cuando se incluyan o retiren participantes del colectivo esta información deberá ser actualizada.</w:t>
      </w:r>
    </w:p>
    <w:p w:rsidR="00FC3C4B" w:rsidRDefault="00FC3C4B" w:rsidP="0079039E">
      <w:pPr>
        <w:spacing w:line="252" w:lineRule="auto"/>
        <w:rPr>
          <w:rFonts w:cs="Arial"/>
          <w:color w:val="000000"/>
        </w:rPr>
      </w:pPr>
    </w:p>
    <w:p w:rsidR="00E7291E" w:rsidRDefault="00E7291E" w:rsidP="0079039E">
      <w:pPr>
        <w:spacing w:line="252" w:lineRule="auto"/>
        <w:rPr>
          <w:rFonts w:cs="Arial"/>
          <w:color w:val="000000"/>
        </w:rPr>
      </w:pPr>
      <w:r>
        <w:rPr>
          <w:rFonts w:cs="Arial"/>
          <w:color w:val="000000"/>
        </w:rPr>
        <w:t>Para reportar esta información se puede emplear el siguiente formato:</w:t>
      </w:r>
    </w:p>
    <w:p w:rsidR="00E7291E" w:rsidRDefault="00E7291E" w:rsidP="0079039E">
      <w:pPr>
        <w:spacing w:line="252" w:lineRule="auto"/>
        <w:rPr>
          <w:rFonts w:cs="Arial"/>
          <w:color w:val="000000"/>
        </w:rPr>
      </w:pPr>
    </w:p>
    <w:p w:rsidR="00E7291E" w:rsidRDefault="00E7291E" w:rsidP="00E7291E">
      <w:pPr>
        <w:numPr>
          <w:ilvl w:val="0"/>
          <w:numId w:val="38"/>
        </w:numPr>
        <w:spacing w:after="200" w:line="276" w:lineRule="auto"/>
        <w:contextualSpacing/>
        <w:jc w:val="left"/>
        <w:rPr>
          <w:rFonts w:eastAsia="Calibri"/>
          <w:i/>
        </w:rPr>
      </w:pPr>
      <w:r w:rsidRPr="00916E2E">
        <w:rPr>
          <w:rFonts w:eastAsia="Calibri"/>
          <w:i/>
        </w:rPr>
        <w:t>Cantidades de pilas y/o acumuladores puestas en el mercado.</w:t>
      </w:r>
    </w:p>
    <w:p w:rsidR="00E7291E" w:rsidRPr="00916E2E" w:rsidRDefault="00E7291E" w:rsidP="00E7291E">
      <w:pPr>
        <w:ind w:left="1440"/>
        <w:contextualSpacing/>
        <w:rPr>
          <w:rFonts w:eastAsia="Calibri"/>
          <w:i/>
        </w:rPr>
      </w:pPr>
    </w:p>
    <w:tbl>
      <w:tblPr>
        <w:tblStyle w:val="Tablaconcuadrcula1"/>
        <w:tblW w:w="0" w:type="auto"/>
        <w:jc w:val="center"/>
        <w:tblInd w:w="720" w:type="dxa"/>
        <w:tblLook w:val="04A0" w:firstRow="1" w:lastRow="0" w:firstColumn="1" w:lastColumn="0" w:noHBand="0" w:noVBand="1"/>
      </w:tblPr>
      <w:tblGrid>
        <w:gridCol w:w="2532"/>
        <w:gridCol w:w="979"/>
        <w:gridCol w:w="1071"/>
        <w:gridCol w:w="851"/>
        <w:gridCol w:w="979"/>
        <w:gridCol w:w="1071"/>
        <w:gridCol w:w="851"/>
      </w:tblGrid>
      <w:tr w:rsidR="00B62067" w:rsidRPr="00916E2E" w:rsidTr="00DE501B">
        <w:trPr>
          <w:jc w:val="center"/>
        </w:trPr>
        <w:tc>
          <w:tcPr>
            <w:tcW w:w="0" w:type="auto"/>
            <w:vMerge w:val="restart"/>
            <w:vAlign w:val="center"/>
          </w:tcPr>
          <w:p w:rsidR="00B62067" w:rsidRPr="00916E2E" w:rsidRDefault="00B62067" w:rsidP="00E7291E">
            <w:pPr>
              <w:contextualSpacing/>
              <w:jc w:val="center"/>
              <w:rPr>
                <w:rFonts w:eastAsia="Calibri" w:cs="Times New Roman"/>
                <w:i/>
              </w:rPr>
            </w:pPr>
            <w:r w:rsidRPr="00916E2E">
              <w:rPr>
                <w:rFonts w:eastAsia="Calibri" w:cs="Times New Roman"/>
                <w:i/>
              </w:rPr>
              <w:t>Tipo (partida – subpartida)</w:t>
            </w:r>
          </w:p>
        </w:tc>
        <w:tc>
          <w:tcPr>
            <w:tcW w:w="0" w:type="auto"/>
            <w:gridSpan w:val="3"/>
            <w:vAlign w:val="center"/>
          </w:tcPr>
          <w:p w:rsidR="00B62067" w:rsidRPr="00916E2E" w:rsidRDefault="00B62067" w:rsidP="00E7291E">
            <w:pPr>
              <w:contextualSpacing/>
              <w:jc w:val="center"/>
              <w:rPr>
                <w:rFonts w:eastAsia="Calibri"/>
                <w:i/>
              </w:rPr>
            </w:pPr>
            <w:r w:rsidRPr="00916E2E">
              <w:rPr>
                <w:rFonts w:eastAsia="Calibri" w:cs="Times New Roman"/>
                <w:i/>
              </w:rPr>
              <w:t>X</w:t>
            </w:r>
            <w:r w:rsidRPr="00916E2E">
              <w:rPr>
                <w:rFonts w:eastAsia="Calibri" w:cs="Times New Roman"/>
                <w:i/>
                <w:vertAlign w:val="subscript"/>
              </w:rPr>
              <w:t>1</w:t>
            </w:r>
          </w:p>
        </w:tc>
        <w:tc>
          <w:tcPr>
            <w:tcW w:w="0" w:type="auto"/>
            <w:gridSpan w:val="3"/>
            <w:vAlign w:val="center"/>
          </w:tcPr>
          <w:p w:rsidR="00B62067" w:rsidRPr="00916E2E" w:rsidRDefault="00B62067" w:rsidP="00E7291E">
            <w:pPr>
              <w:contextualSpacing/>
              <w:jc w:val="center"/>
              <w:rPr>
                <w:rFonts w:eastAsia="Calibri"/>
                <w:i/>
              </w:rPr>
            </w:pPr>
            <w:r w:rsidRPr="00916E2E">
              <w:rPr>
                <w:rFonts w:eastAsia="Calibri" w:cs="Times New Roman"/>
                <w:i/>
              </w:rPr>
              <w:t>X</w:t>
            </w:r>
            <w:r w:rsidRPr="00916E2E">
              <w:rPr>
                <w:rFonts w:eastAsia="Calibri" w:cs="Times New Roman"/>
                <w:i/>
                <w:vertAlign w:val="subscript"/>
              </w:rPr>
              <w:t>2</w:t>
            </w:r>
          </w:p>
        </w:tc>
      </w:tr>
      <w:tr w:rsidR="00B62067" w:rsidRPr="00916E2E" w:rsidTr="00DE501B">
        <w:trPr>
          <w:jc w:val="center"/>
        </w:trPr>
        <w:tc>
          <w:tcPr>
            <w:tcW w:w="0" w:type="auto"/>
            <w:vMerge/>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r w:rsidRPr="00916E2E">
              <w:rPr>
                <w:rFonts w:eastAsia="Calibri" w:cs="Times New Roman"/>
                <w:i/>
              </w:rPr>
              <w:t>Unidades</w:t>
            </w:r>
          </w:p>
        </w:tc>
        <w:tc>
          <w:tcPr>
            <w:tcW w:w="0" w:type="auto"/>
            <w:vAlign w:val="center"/>
          </w:tcPr>
          <w:p w:rsidR="00B62067" w:rsidRPr="00916E2E" w:rsidRDefault="00B62067" w:rsidP="00E7291E">
            <w:pPr>
              <w:contextualSpacing/>
              <w:jc w:val="center"/>
              <w:rPr>
                <w:rFonts w:eastAsia="Calibri" w:cs="Times New Roman"/>
                <w:i/>
              </w:rPr>
            </w:pPr>
            <w:r w:rsidRPr="00916E2E">
              <w:rPr>
                <w:rFonts w:eastAsia="Calibri" w:cs="Times New Roman"/>
                <w:i/>
              </w:rPr>
              <w:t>Peso</w:t>
            </w:r>
            <w:r>
              <w:rPr>
                <w:rFonts w:eastAsia="Calibri" w:cs="Times New Roman"/>
                <w:i/>
              </w:rPr>
              <w:t xml:space="preserve"> unitario</w:t>
            </w:r>
          </w:p>
        </w:tc>
        <w:tc>
          <w:tcPr>
            <w:tcW w:w="0" w:type="auto"/>
          </w:tcPr>
          <w:p w:rsidR="00B62067" w:rsidRPr="00916E2E" w:rsidRDefault="00B62067" w:rsidP="00E7291E">
            <w:pPr>
              <w:contextualSpacing/>
              <w:jc w:val="center"/>
              <w:rPr>
                <w:rFonts w:eastAsia="Calibri"/>
                <w:i/>
              </w:rPr>
            </w:pPr>
            <w:r>
              <w:rPr>
                <w:rFonts w:eastAsia="Calibri"/>
                <w:i/>
              </w:rPr>
              <w:t>Peso total</w:t>
            </w:r>
          </w:p>
        </w:tc>
        <w:tc>
          <w:tcPr>
            <w:tcW w:w="0" w:type="auto"/>
            <w:vAlign w:val="center"/>
          </w:tcPr>
          <w:p w:rsidR="00B62067" w:rsidRPr="00916E2E" w:rsidRDefault="00B62067" w:rsidP="00E7291E">
            <w:pPr>
              <w:contextualSpacing/>
              <w:jc w:val="center"/>
              <w:rPr>
                <w:rFonts w:eastAsia="Calibri" w:cs="Times New Roman"/>
                <w:i/>
              </w:rPr>
            </w:pPr>
            <w:r w:rsidRPr="00916E2E">
              <w:rPr>
                <w:rFonts w:eastAsia="Calibri" w:cs="Times New Roman"/>
                <w:i/>
              </w:rPr>
              <w:t>Unidades</w:t>
            </w:r>
          </w:p>
        </w:tc>
        <w:tc>
          <w:tcPr>
            <w:tcW w:w="0" w:type="auto"/>
            <w:vAlign w:val="center"/>
          </w:tcPr>
          <w:p w:rsidR="00B62067" w:rsidRPr="00916E2E" w:rsidRDefault="00B62067" w:rsidP="00E7291E">
            <w:pPr>
              <w:contextualSpacing/>
              <w:jc w:val="center"/>
              <w:rPr>
                <w:rFonts w:eastAsia="Calibri" w:cs="Times New Roman"/>
                <w:i/>
              </w:rPr>
            </w:pPr>
            <w:r w:rsidRPr="00916E2E">
              <w:rPr>
                <w:rFonts w:eastAsia="Calibri" w:cs="Times New Roman"/>
                <w:i/>
              </w:rPr>
              <w:t>Peso</w:t>
            </w:r>
            <w:r>
              <w:rPr>
                <w:rFonts w:eastAsia="Calibri" w:cs="Times New Roman"/>
                <w:i/>
              </w:rPr>
              <w:t xml:space="preserve"> unitario</w:t>
            </w:r>
          </w:p>
        </w:tc>
        <w:tc>
          <w:tcPr>
            <w:tcW w:w="0" w:type="auto"/>
          </w:tcPr>
          <w:p w:rsidR="00B62067" w:rsidRPr="00916E2E" w:rsidRDefault="00B62067" w:rsidP="00E7291E">
            <w:pPr>
              <w:contextualSpacing/>
              <w:jc w:val="center"/>
              <w:rPr>
                <w:rFonts w:eastAsia="Calibri"/>
                <w:i/>
              </w:rPr>
            </w:pPr>
            <w:r>
              <w:rPr>
                <w:rFonts w:eastAsia="Calibri"/>
                <w:i/>
              </w:rPr>
              <w:t>Peso total</w:t>
            </w:r>
          </w:p>
        </w:tc>
      </w:tr>
      <w:tr w:rsidR="00B62067" w:rsidRPr="00916E2E" w:rsidTr="00DE501B">
        <w:trPr>
          <w:jc w:val="center"/>
        </w:trPr>
        <w:tc>
          <w:tcPr>
            <w:tcW w:w="0" w:type="auto"/>
            <w:vAlign w:val="center"/>
          </w:tcPr>
          <w:p w:rsidR="00B62067" w:rsidRPr="00916E2E" w:rsidRDefault="00B62067" w:rsidP="00E7291E">
            <w:pPr>
              <w:contextualSpacing/>
              <w:rPr>
                <w:rFonts w:eastAsia="Calibri" w:cs="Times New Roman"/>
                <w:i/>
              </w:rPr>
            </w:pPr>
            <w:r w:rsidRPr="00916E2E">
              <w:rPr>
                <w:rFonts w:eastAsia="Calibri" w:cs="Times New Roman"/>
                <w:i/>
              </w:rPr>
              <w:t>8506</w:t>
            </w: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r>
      <w:tr w:rsidR="00B62067" w:rsidRPr="00916E2E" w:rsidTr="00DE501B">
        <w:trPr>
          <w:jc w:val="center"/>
        </w:trPr>
        <w:tc>
          <w:tcPr>
            <w:tcW w:w="0" w:type="auto"/>
            <w:vAlign w:val="center"/>
          </w:tcPr>
          <w:p w:rsidR="00B62067" w:rsidRPr="00916E2E" w:rsidRDefault="00B62067" w:rsidP="00E7291E">
            <w:pPr>
              <w:contextualSpacing/>
              <w:rPr>
                <w:rFonts w:eastAsia="Calibri" w:cs="Times New Roman"/>
                <w:i/>
              </w:rPr>
            </w:pPr>
            <w:r w:rsidRPr="00916E2E">
              <w:rPr>
                <w:rFonts w:eastAsia="Calibri" w:cs="Times New Roman"/>
                <w:i/>
              </w:rPr>
              <w:t>8507300000</w:t>
            </w: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r>
      <w:tr w:rsidR="00B62067" w:rsidRPr="00916E2E" w:rsidTr="00DE501B">
        <w:trPr>
          <w:jc w:val="center"/>
        </w:trPr>
        <w:tc>
          <w:tcPr>
            <w:tcW w:w="0" w:type="auto"/>
            <w:vAlign w:val="center"/>
          </w:tcPr>
          <w:p w:rsidR="00B62067" w:rsidRPr="00916E2E" w:rsidRDefault="00B62067" w:rsidP="00E7291E">
            <w:pPr>
              <w:contextualSpacing/>
              <w:rPr>
                <w:rFonts w:eastAsia="Calibri" w:cs="Times New Roman"/>
                <w:i/>
              </w:rPr>
            </w:pPr>
            <w:r w:rsidRPr="00916E2E">
              <w:rPr>
                <w:rFonts w:eastAsia="Calibri" w:cs="Times New Roman"/>
                <w:i/>
              </w:rPr>
              <w:t>8507400000</w:t>
            </w: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r>
      <w:tr w:rsidR="00B62067" w:rsidRPr="00916E2E" w:rsidTr="00DE501B">
        <w:trPr>
          <w:jc w:val="center"/>
        </w:trPr>
        <w:tc>
          <w:tcPr>
            <w:tcW w:w="0" w:type="auto"/>
            <w:vAlign w:val="center"/>
          </w:tcPr>
          <w:p w:rsidR="00B62067" w:rsidRPr="00916E2E" w:rsidRDefault="00B62067" w:rsidP="00E7291E">
            <w:pPr>
              <w:contextualSpacing/>
              <w:rPr>
                <w:rFonts w:eastAsia="Calibri" w:cs="Times New Roman"/>
                <w:i/>
              </w:rPr>
            </w:pPr>
            <w:r w:rsidRPr="00916E2E">
              <w:rPr>
                <w:rFonts w:eastAsia="Calibri" w:cs="Times New Roman"/>
                <w:i/>
              </w:rPr>
              <w:t>8507800010 (actualmente  8507600000)</w:t>
            </w: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r>
      <w:tr w:rsidR="00B62067" w:rsidRPr="00916E2E" w:rsidTr="00DE501B">
        <w:trPr>
          <w:jc w:val="center"/>
        </w:trPr>
        <w:tc>
          <w:tcPr>
            <w:tcW w:w="0" w:type="auto"/>
            <w:vAlign w:val="center"/>
          </w:tcPr>
          <w:p w:rsidR="00B62067" w:rsidRPr="00916E2E" w:rsidRDefault="00B62067" w:rsidP="00E7291E">
            <w:pPr>
              <w:contextualSpacing/>
              <w:rPr>
                <w:rFonts w:eastAsia="Calibri" w:cs="Times New Roman"/>
                <w:i/>
              </w:rPr>
            </w:pPr>
            <w:r w:rsidRPr="00916E2E">
              <w:rPr>
                <w:rFonts w:eastAsia="Calibri" w:cs="Times New Roman"/>
                <w:i/>
              </w:rPr>
              <w:t>8507800020 (actualmente  8507500000)</w:t>
            </w: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r>
      <w:tr w:rsidR="00B62067" w:rsidRPr="00916E2E" w:rsidTr="00DE501B">
        <w:trPr>
          <w:jc w:val="center"/>
        </w:trPr>
        <w:tc>
          <w:tcPr>
            <w:tcW w:w="0" w:type="auto"/>
            <w:vAlign w:val="center"/>
          </w:tcPr>
          <w:p w:rsidR="00B62067" w:rsidRPr="00916E2E" w:rsidRDefault="00B62067" w:rsidP="00E7291E">
            <w:pPr>
              <w:contextualSpacing/>
              <w:rPr>
                <w:rFonts w:eastAsia="Calibri" w:cs="Times New Roman"/>
                <w:i/>
              </w:rPr>
            </w:pPr>
            <w:r w:rsidRPr="00916E2E">
              <w:rPr>
                <w:rFonts w:eastAsia="Calibri" w:cs="Times New Roman"/>
                <w:i/>
              </w:rPr>
              <w:t>8507800090 (actualmente  8507800000)</w:t>
            </w: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r>
      <w:tr w:rsidR="00B62067" w:rsidRPr="00916E2E" w:rsidTr="00DE501B">
        <w:trPr>
          <w:jc w:val="center"/>
        </w:trPr>
        <w:tc>
          <w:tcPr>
            <w:tcW w:w="0" w:type="auto"/>
            <w:vAlign w:val="center"/>
          </w:tcPr>
          <w:p w:rsidR="00B62067" w:rsidRPr="00916E2E" w:rsidRDefault="00B62067" w:rsidP="00E7291E">
            <w:pPr>
              <w:contextualSpacing/>
              <w:rPr>
                <w:rFonts w:eastAsia="Calibri" w:cs="Times New Roman"/>
                <w:i/>
              </w:rPr>
            </w:pPr>
            <w:r w:rsidRPr="00916E2E">
              <w:rPr>
                <w:rFonts w:eastAsia="Calibri" w:cs="Times New Roman"/>
                <w:i/>
              </w:rPr>
              <w:t>Total</w:t>
            </w: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vAlign w:val="center"/>
          </w:tcPr>
          <w:p w:rsidR="00B62067" w:rsidRPr="00916E2E" w:rsidRDefault="00B62067" w:rsidP="00E7291E">
            <w:pPr>
              <w:contextualSpacing/>
              <w:jc w:val="center"/>
              <w:rPr>
                <w:rFonts w:eastAsia="Calibri" w:cs="Times New Roman"/>
                <w:i/>
              </w:rPr>
            </w:pPr>
          </w:p>
        </w:tc>
        <w:tc>
          <w:tcPr>
            <w:tcW w:w="0" w:type="auto"/>
          </w:tcPr>
          <w:p w:rsidR="00B62067" w:rsidRPr="00916E2E" w:rsidRDefault="00B62067" w:rsidP="00E7291E">
            <w:pPr>
              <w:contextualSpacing/>
              <w:jc w:val="center"/>
              <w:rPr>
                <w:rFonts w:eastAsia="Calibri"/>
                <w:i/>
              </w:rPr>
            </w:pPr>
          </w:p>
        </w:tc>
      </w:tr>
    </w:tbl>
    <w:p w:rsidR="00E7291E" w:rsidRPr="00916E2E" w:rsidRDefault="00E7291E" w:rsidP="00E7291E">
      <w:pPr>
        <w:ind w:left="720"/>
        <w:contextualSpacing/>
        <w:rPr>
          <w:rFonts w:eastAsia="Calibri"/>
          <w:i/>
        </w:rPr>
      </w:pPr>
    </w:p>
    <w:p w:rsidR="00E7291E" w:rsidRPr="00916E2E" w:rsidRDefault="00E7291E" w:rsidP="00E7291E">
      <w:pPr>
        <w:ind w:left="720"/>
        <w:contextualSpacing/>
        <w:rPr>
          <w:rFonts w:eastAsia="Calibri"/>
          <w:i/>
        </w:rPr>
      </w:pPr>
      <w:r w:rsidRPr="00916E2E">
        <w:rPr>
          <w:rFonts w:eastAsia="Calibri"/>
          <w:i/>
        </w:rPr>
        <w:t>X</w:t>
      </w:r>
      <w:r w:rsidRPr="00916E2E">
        <w:rPr>
          <w:rFonts w:eastAsia="Calibri"/>
          <w:i/>
          <w:vertAlign w:val="subscript"/>
        </w:rPr>
        <w:t xml:space="preserve">1 </w:t>
      </w:r>
      <w:r w:rsidRPr="00916E2E">
        <w:rPr>
          <w:rFonts w:eastAsia="Calibri"/>
          <w:i/>
        </w:rPr>
        <w:t>y X</w:t>
      </w:r>
      <w:r w:rsidRPr="00916E2E">
        <w:rPr>
          <w:rFonts w:eastAsia="Calibri"/>
          <w:i/>
          <w:vertAlign w:val="subscript"/>
        </w:rPr>
        <w:t xml:space="preserve">2 </w:t>
      </w:r>
      <w:r>
        <w:rPr>
          <w:rFonts w:eastAsia="Calibri"/>
          <w:i/>
        </w:rPr>
        <w:t xml:space="preserve">se refieren a </w:t>
      </w:r>
      <w:r w:rsidRPr="00916E2E">
        <w:rPr>
          <w:rFonts w:eastAsia="Calibri"/>
          <w:i/>
        </w:rPr>
        <w:t>los dos años inmediatamente anteriores a la presentación del Sistema, el peso y las unidades corresponden a las pilas y/o acumuladores puestas en el mercado por cada tipo.</w:t>
      </w:r>
    </w:p>
    <w:p w:rsidR="00E7291E" w:rsidRPr="0071315B" w:rsidRDefault="00E7291E" w:rsidP="0079039E">
      <w:pPr>
        <w:spacing w:line="252" w:lineRule="auto"/>
        <w:rPr>
          <w:rFonts w:cs="Arial"/>
          <w:color w:val="000000"/>
        </w:rPr>
      </w:pPr>
    </w:p>
    <w:p w:rsidR="008E4DAD" w:rsidRPr="0071315B" w:rsidRDefault="008E4DAD" w:rsidP="008E4DAD">
      <w:pPr>
        <w:pStyle w:val="elementosist"/>
        <w:numPr>
          <w:ilvl w:val="0"/>
          <w:numId w:val="21"/>
        </w:numPr>
        <w:ind w:hanging="1080"/>
      </w:pPr>
      <w:bookmarkStart w:id="7" w:name="_Toc333477395"/>
      <w:r w:rsidRPr="0071315B">
        <w:t>OTROS ACTORES Y NIVEL DE PARTICIPACIÓN</w:t>
      </w:r>
      <w:bookmarkEnd w:id="7"/>
    </w:p>
    <w:p w:rsidR="008E4DAD" w:rsidRPr="0071315B" w:rsidRDefault="008E4DAD" w:rsidP="0079039E">
      <w:pPr>
        <w:spacing w:line="252" w:lineRule="auto"/>
        <w:rPr>
          <w:rFonts w:cs="Arial"/>
          <w:color w:val="000000"/>
        </w:rPr>
      </w:pPr>
    </w:p>
    <w:p w:rsidR="00237CA4" w:rsidRPr="0071315B" w:rsidRDefault="00B62067" w:rsidP="0079039E">
      <w:pPr>
        <w:spacing w:line="252" w:lineRule="auto"/>
        <w:rPr>
          <w:rFonts w:cs="Arial"/>
          <w:color w:val="000000"/>
        </w:rPr>
      </w:pPr>
      <w:r>
        <w:rPr>
          <w:rFonts w:cs="Arial"/>
          <w:color w:val="000000"/>
        </w:rPr>
        <w:t>En este</w:t>
      </w:r>
      <w:r w:rsidR="007D20D3">
        <w:rPr>
          <w:rFonts w:cs="Arial"/>
          <w:color w:val="000000"/>
        </w:rPr>
        <w:t xml:space="preserve"> numeral debe presentarse </w:t>
      </w:r>
      <w:r w:rsidR="00FC3C4B" w:rsidRPr="0071315B">
        <w:rPr>
          <w:rFonts w:cs="Arial"/>
          <w:color w:val="000000"/>
        </w:rPr>
        <w:t>una descripción general</w:t>
      </w:r>
      <w:r w:rsidR="009E47E9" w:rsidRPr="0071315B">
        <w:rPr>
          <w:rFonts w:cs="Arial"/>
          <w:color w:val="000000"/>
        </w:rPr>
        <w:t xml:space="preserve"> de los otros actores que intervienen o participan en el </w:t>
      </w:r>
      <w:r w:rsidR="007D20D3">
        <w:rPr>
          <w:rFonts w:cs="Arial"/>
          <w:color w:val="000000"/>
        </w:rPr>
        <w:t>SRS</w:t>
      </w:r>
      <w:r w:rsidR="009E47E9" w:rsidRPr="0071315B">
        <w:rPr>
          <w:rFonts w:cs="Arial"/>
          <w:color w:val="000000"/>
        </w:rPr>
        <w:t xml:space="preserve">. Estos pueden ser públicos o privados, </w:t>
      </w:r>
      <w:r w:rsidR="007D20D3">
        <w:rPr>
          <w:rFonts w:cs="Arial"/>
          <w:color w:val="000000"/>
        </w:rPr>
        <w:t xml:space="preserve">y </w:t>
      </w:r>
      <w:r w:rsidR="009E47E9" w:rsidRPr="0071315B">
        <w:rPr>
          <w:rFonts w:cs="Arial"/>
          <w:color w:val="000000"/>
        </w:rPr>
        <w:t>se debe</w:t>
      </w:r>
      <w:r w:rsidR="007D20D3">
        <w:rPr>
          <w:rFonts w:cs="Arial"/>
          <w:color w:val="000000"/>
        </w:rPr>
        <w:t>n</w:t>
      </w:r>
      <w:r w:rsidR="009E47E9" w:rsidRPr="0071315B">
        <w:rPr>
          <w:rFonts w:cs="Arial"/>
          <w:color w:val="000000"/>
        </w:rPr>
        <w:t xml:space="preserve"> señalar las actividades o acciones que realizaran </w:t>
      </w:r>
      <w:r w:rsidR="00237CA4" w:rsidRPr="0071315B">
        <w:rPr>
          <w:rFonts w:cs="Arial"/>
          <w:color w:val="000000"/>
        </w:rPr>
        <w:t xml:space="preserve">para apoyar y/o colaborar </w:t>
      </w:r>
      <w:r w:rsidR="007D20D3">
        <w:rPr>
          <w:rFonts w:cs="Arial"/>
          <w:color w:val="000000"/>
        </w:rPr>
        <w:t>con la implementación y correcto funcionamiento del SRS</w:t>
      </w:r>
      <w:r w:rsidR="00237CA4" w:rsidRPr="0071315B">
        <w:rPr>
          <w:rFonts w:cs="Arial"/>
          <w:color w:val="000000"/>
        </w:rPr>
        <w:t>.</w:t>
      </w:r>
    </w:p>
    <w:p w:rsidR="00237CA4" w:rsidRPr="0071315B" w:rsidRDefault="00237CA4" w:rsidP="0079039E">
      <w:pPr>
        <w:spacing w:line="252" w:lineRule="auto"/>
        <w:rPr>
          <w:rFonts w:cs="Arial"/>
          <w:color w:val="000000"/>
        </w:rPr>
      </w:pPr>
    </w:p>
    <w:p w:rsidR="00237CA4" w:rsidRPr="0071315B" w:rsidRDefault="00237CA4" w:rsidP="00237CA4">
      <w:pPr>
        <w:spacing w:line="252" w:lineRule="auto"/>
        <w:rPr>
          <w:rFonts w:cs="Arial"/>
          <w:color w:val="000000"/>
        </w:rPr>
      </w:pPr>
      <w:r w:rsidRPr="0071315B">
        <w:rPr>
          <w:rFonts w:cs="Arial"/>
          <w:color w:val="000000"/>
        </w:rPr>
        <w:t>Como ejemplo de otros actores tenemos: Autoridades Ambientales Regionales y Municipales, organizaciones civiles, gremios y/o asociaciones, medios de comunicación, comerciantes, consumidores, entre otros. Para algunos de estos</w:t>
      </w:r>
      <w:r w:rsidR="00711459" w:rsidRPr="0071315B">
        <w:rPr>
          <w:rFonts w:cs="Arial"/>
          <w:color w:val="000000"/>
        </w:rPr>
        <w:t xml:space="preserve"> actores</w:t>
      </w:r>
      <w:r w:rsidRPr="0071315B">
        <w:rPr>
          <w:rFonts w:cs="Arial"/>
          <w:color w:val="000000"/>
        </w:rPr>
        <w:t xml:space="preserve">, se tienen obligaciones </w:t>
      </w:r>
      <w:r w:rsidR="00711459" w:rsidRPr="0071315B">
        <w:rPr>
          <w:rFonts w:cs="Arial"/>
          <w:color w:val="000000"/>
        </w:rPr>
        <w:t>específicas</w:t>
      </w:r>
      <w:r w:rsidRPr="0071315B">
        <w:rPr>
          <w:rFonts w:cs="Arial"/>
          <w:color w:val="000000"/>
        </w:rPr>
        <w:t xml:space="preserve"> establecidas por la Resolución 1297 de 2010, </w:t>
      </w:r>
      <w:r w:rsidR="00711459" w:rsidRPr="0071315B">
        <w:rPr>
          <w:rFonts w:cs="Arial"/>
          <w:color w:val="000000"/>
        </w:rPr>
        <w:t xml:space="preserve">las cuales </w:t>
      </w:r>
      <w:r w:rsidRPr="0071315B">
        <w:rPr>
          <w:rFonts w:cs="Arial"/>
          <w:color w:val="000000"/>
        </w:rPr>
        <w:t xml:space="preserve"> </w:t>
      </w:r>
      <w:r w:rsidR="00711459" w:rsidRPr="0071315B">
        <w:rPr>
          <w:rFonts w:cs="Arial"/>
          <w:color w:val="000000"/>
        </w:rPr>
        <w:t>serán de estricto cumplimiento y deberán ser especificadas en este numeral, adicionalmente, si se desarrollan actividades complementarias es necesario citar cada una</w:t>
      </w:r>
      <w:r w:rsidR="007D20D3">
        <w:rPr>
          <w:rFonts w:cs="Arial"/>
          <w:color w:val="000000"/>
        </w:rPr>
        <w:t xml:space="preserve"> de ellas</w:t>
      </w:r>
      <w:r w:rsidR="00711459" w:rsidRPr="0071315B">
        <w:rPr>
          <w:rFonts w:cs="Arial"/>
          <w:color w:val="000000"/>
        </w:rPr>
        <w:t>.</w:t>
      </w:r>
    </w:p>
    <w:p w:rsidR="00DD2778" w:rsidRPr="0071315B" w:rsidRDefault="00DD2778" w:rsidP="0079039E">
      <w:pPr>
        <w:spacing w:line="252" w:lineRule="auto"/>
        <w:rPr>
          <w:rFonts w:cs="Arial"/>
          <w:color w:val="000000"/>
        </w:rPr>
      </w:pPr>
    </w:p>
    <w:p w:rsidR="00DD2778" w:rsidRPr="0071315B" w:rsidRDefault="00DD2778" w:rsidP="00DD2778">
      <w:pPr>
        <w:pStyle w:val="elementosist"/>
        <w:numPr>
          <w:ilvl w:val="0"/>
          <w:numId w:val="21"/>
        </w:numPr>
        <w:ind w:hanging="1080"/>
      </w:pPr>
      <w:bookmarkStart w:id="8" w:name="_Toc333477396"/>
      <w:r w:rsidRPr="0071315B">
        <w:t>CUBRIMIENTO GEOGRÁFICO</w:t>
      </w:r>
      <w:bookmarkEnd w:id="8"/>
    </w:p>
    <w:p w:rsidR="00FC3C4B" w:rsidRPr="0071315B" w:rsidRDefault="00FC3C4B" w:rsidP="0079039E">
      <w:pPr>
        <w:spacing w:line="252" w:lineRule="auto"/>
        <w:rPr>
          <w:rFonts w:cs="Arial"/>
          <w:color w:val="000000"/>
        </w:rPr>
      </w:pPr>
    </w:p>
    <w:p w:rsidR="00200ECD" w:rsidRPr="0071315B" w:rsidRDefault="00711459" w:rsidP="0079039E">
      <w:pPr>
        <w:spacing w:line="252" w:lineRule="auto"/>
        <w:rPr>
          <w:rFonts w:cs="Arial"/>
          <w:color w:val="000000"/>
        </w:rPr>
      </w:pPr>
      <w:r w:rsidRPr="0071315B">
        <w:rPr>
          <w:rFonts w:cs="Arial"/>
          <w:color w:val="000000"/>
        </w:rPr>
        <w:t>E</w:t>
      </w:r>
      <w:r w:rsidR="00200ECD" w:rsidRPr="0071315B">
        <w:rPr>
          <w:rFonts w:cs="Arial"/>
          <w:color w:val="000000"/>
        </w:rPr>
        <w:t>n e</w:t>
      </w:r>
      <w:r w:rsidRPr="0071315B">
        <w:rPr>
          <w:rFonts w:cs="Arial"/>
          <w:color w:val="000000"/>
        </w:rPr>
        <w:t xml:space="preserve">ste ítem, </w:t>
      </w:r>
      <w:r w:rsidR="00200ECD" w:rsidRPr="0071315B">
        <w:rPr>
          <w:rFonts w:cs="Arial"/>
          <w:color w:val="000000"/>
        </w:rPr>
        <w:t>s</w:t>
      </w:r>
      <w:r w:rsidR="00FC3C4B" w:rsidRPr="0071315B">
        <w:rPr>
          <w:rFonts w:cs="Arial"/>
          <w:color w:val="000000"/>
        </w:rPr>
        <w:t>e</w:t>
      </w:r>
      <w:r w:rsidR="00200ECD" w:rsidRPr="0071315B">
        <w:rPr>
          <w:rFonts w:cs="Arial"/>
          <w:color w:val="000000"/>
        </w:rPr>
        <w:t xml:space="preserve"> especifica la cobertura geográfica inicial y las proyecciones que tendrá el </w:t>
      </w:r>
      <w:r w:rsidR="00CF69CA">
        <w:rPr>
          <w:rFonts w:cs="Arial"/>
          <w:color w:val="000000"/>
        </w:rPr>
        <w:t>SRS</w:t>
      </w:r>
      <w:r w:rsidR="00CF69CA" w:rsidRPr="0071315B">
        <w:rPr>
          <w:rFonts w:cs="Arial"/>
          <w:color w:val="000000"/>
        </w:rPr>
        <w:t xml:space="preserve"> </w:t>
      </w:r>
      <w:r w:rsidR="00200ECD" w:rsidRPr="0071315B">
        <w:rPr>
          <w:rFonts w:cs="Arial"/>
          <w:color w:val="000000"/>
        </w:rPr>
        <w:t xml:space="preserve">hasta lograr </w:t>
      </w:r>
      <w:r w:rsidR="00FC3C4B" w:rsidRPr="0071315B">
        <w:rPr>
          <w:rFonts w:cs="Arial"/>
          <w:color w:val="000000"/>
        </w:rPr>
        <w:t xml:space="preserve"> </w:t>
      </w:r>
      <w:r w:rsidR="00200ECD" w:rsidRPr="0071315B">
        <w:rPr>
          <w:rFonts w:cs="Arial"/>
          <w:color w:val="000000"/>
        </w:rPr>
        <w:t>el 100%</w:t>
      </w:r>
      <w:r w:rsidR="00CF69CA">
        <w:rPr>
          <w:rFonts w:cs="Arial"/>
          <w:color w:val="000000"/>
        </w:rPr>
        <w:t xml:space="preserve"> de los municipios en donde se hayan comercializado los productos de los participantes del SRS</w:t>
      </w:r>
      <w:r w:rsidR="00200ECD" w:rsidRPr="0071315B">
        <w:rPr>
          <w:rFonts w:cs="Arial"/>
          <w:color w:val="000000"/>
        </w:rPr>
        <w:t xml:space="preserve">. Se entiende por  cobertura  geográfica, la relación numérica entre las zonas en las cuáles el  </w:t>
      </w:r>
      <w:r w:rsidR="00CF69CA">
        <w:rPr>
          <w:rFonts w:cs="Arial"/>
          <w:color w:val="000000"/>
        </w:rPr>
        <w:t>SRS</w:t>
      </w:r>
      <w:r w:rsidR="00CF69CA" w:rsidRPr="0071315B">
        <w:rPr>
          <w:rFonts w:cs="Arial"/>
          <w:color w:val="000000"/>
        </w:rPr>
        <w:t xml:space="preserve"> </w:t>
      </w:r>
      <w:r w:rsidR="00200ECD" w:rsidRPr="0071315B">
        <w:rPr>
          <w:rFonts w:cs="Arial"/>
          <w:color w:val="000000"/>
        </w:rPr>
        <w:t>tiene participación con los mecanismos de recolección propuestos y las zonas de comercialización de los productos</w:t>
      </w:r>
      <w:r w:rsidR="00CF69CA">
        <w:rPr>
          <w:rFonts w:cs="Arial"/>
          <w:color w:val="000000"/>
        </w:rPr>
        <w:t>.</w:t>
      </w:r>
      <w:r w:rsidR="00200ECD" w:rsidRPr="0071315B">
        <w:rPr>
          <w:rFonts w:cs="Arial"/>
          <w:color w:val="000000"/>
        </w:rPr>
        <w:t xml:space="preserve"> </w:t>
      </w:r>
      <w:r w:rsidR="00CF69CA">
        <w:rPr>
          <w:rFonts w:cs="Arial"/>
          <w:color w:val="000000"/>
        </w:rPr>
        <w:t>L</w:t>
      </w:r>
      <w:r w:rsidR="00200ECD" w:rsidRPr="0071315B">
        <w:rPr>
          <w:rFonts w:cs="Arial"/>
          <w:color w:val="000000"/>
        </w:rPr>
        <w:t>a unidad para referirse a la zona geográfica es el municipio, según la división político-administrativa de Colombia, que puede consultarse a través del DANE.</w:t>
      </w:r>
    </w:p>
    <w:p w:rsidR="00200ECD" w:rsidRPr="0071315B" w:rsidRDefault="00200ECD" w:rsidP="0079039E">
      <w:pPr>
        <w:spacing w:line="252" w:lineRule="auto"/>
        <w:rPr>
          <w:rFonts w:cs="Arial"/>
          <w:color w:val="000000"/>
        </w:rPr>
      </w:pPr>
    </w:p>
    <w:p w:rsidR="00FC3C4B" w:rsidRPr="0071315B" w:rsidRDefault="00200ECD" w:rsidP="0079039E">
      <w:pPr>
        <w:spacing w:line="252" w:lineRule="auto"/>
        <w:rPr>
          <w:rFonts w:cs="Arial"/>
          <w:color w:val="000000"/>
        </w:rPr>
      </w:pPr>
      <w:r w:rsidRPr="0071315B">
        <w:rPr>
          <w:rFonts w:cs="Arial"/>
          <w:color w:val="000000"/>
        </w:rPr>
        <w:t xml:space="preserve">Adicionalmente, el Sistema podrá allegar mapas, señalando los </w:t>
      </w:r>
      <w:r w:rsidR="00103FDE" w:rsidRPr="0071315B">
        <w:rPr>
          <w:rFonts w:cs="Arial"/>
          <w:color w:val="000000"/>
        </w:rPr>
        <w:t>departamentos</w:t>
      </w:r>
      <w:r w:rsidRPr="0071315B">
        <w:rPr>
          <w:rFonts w:cs="Arial"/>
          <w:color w:val="000000"/>
        </w:rPr>
        <w:t xml:space="preserve"> y/o municipios en los cuales </w:t>
      </w:r>
      <w:r w:rsidR="00103FDE" w:rsidRPr="0071315B">
        <w:rPr>
          <w:rFonts w:cs="Arial"/>
          <w:color w:val="000000"/>
        </w:rPr>
        <w:t>comercializa</w:t>
      </w:r>
      <w:r w:rsidRPr="0071315B">
        <w:rPr>
          <w:rFonts w:cs="Arial"/>
          <w:color w:val="000000"/>
        </w:rPr>
        <w:t xml:space="preserve"> sus productos </w:t>
      </w:r>
      <w:r w:rsidR="00103FDE" w:rsidRPr="0071315B">
        <w:rPr>
          <w:rFonts w:cs="Arial"/>
          <w:color w:val="000000"/>
        </w:rPr>
        <w:t>y los sistemas de recolección que serán ubicados en la fase inicial.</w:t>
      </w:r>
    </w:p>
    <w:p w:rsidR="00103FDE" w:rsidRPr="0071315B" w:rsidRDefault="00103FDE" w:rsidP="0079039E">
      <w:pPr>
        <w:spacing w:line="252" w:lineRule="auto"/>
        <w:rPr>
          <w:rFonts w:cs="Arial"/>
          <w:color w:val="000000"/>
        </w:rPr>
      </w:pPr>
    </w:p>
    <w:p w:rsidR="00103FDE" w:rsidRPr="0071315B" w:rsidRDefault="00103FDE" w:rsidP="00103FDE">
      <w:pPr>
        <w:spacing w:line="252" w:lineRule="auto"/>
        <w:rPr>
          <w:rFonts w:cs="Arial"/>
          <w:color w:val="000000"/>
        </w:rPr>
      </w:pPr>
      <w:r w:rsidRPr="0071315B">
        <w:rPr>
          <w:rFonts w:cs="Arial"/>
          <w:color w:val="000000"/>
        </w:rPr>
        <w:t>Para el caso especifico, que el sistema pretenda desarrollar mecanismos equivalentes, que garanticen un cubrimiento geográfico total, se deberá soportar dicha afirmación.</w:t>
      </w:r>
    </w:p>
    <w:p w:rsidR="00103FDE" w:rsidRPr="0071315B" w:rsidRDefault="00103FDE" w:rsidP="00103FDE">
      <w:pPr>
        <w:spacing w:line="252" w:lineRule="auto"/>
        <w:rPr>
          <w:rFonts w:cs="Arial"/>
          <w:color w:val="000000"/>
        </w:rPr>
      </w:pPr>
    </w:p>
    <w:p w:rsidR="00103FDE" w:rsidRPr="0071315B" w:rsidRDefault="00103FDE" w:rsidP="00103FDE">
      <w:pPr>
        <w:spacing w:line="252" w:lineRule="auto"/>
        <w:rPr>
          <w:rFonts w:cs="Arial"/>
          <w:color w:val="000000"/>
        </w:rPr>
      </w:pPr>
      <w:r w:rsidRPr="0071315B">
        <w:rPr>
          <w:rFonts w:cs="Arial"/>
          <w:color w:val="000000"/>
        </w:rPr>
        <w:t xml:space="preserve">Así mismo, es necesario presentar las proyecciones que se realizaran para </w:t>
      </w:r>
      <w:r w:rsidR="003776F7" w:rsidRPr="0071315B">
        <w:rPr>
          <w:rFonts w:cs="Arial"/>
          <w:color w:val="000000"/>
        </w:rPr>
        <w:t>garantizar</w:t>
      </w:r>
      <w:r w:rsidRPr="0071315B">
        <w:rPr>
          <w:rFonts w:cs="Arial"/>
          <w:color w:val="000000"/>
        </w:rPr>
        <w:t xml:space="preserve"> la cobert</w:t>
      </w:r>
      <w:r w:rsidR="003776F7" w:rsidRPr="0071315B">
        <w:rPr>
          <w:rFonts w:cs="Arial"/>
          <w:color w:val="000000"/>
        </w:rPr>
        <w:t>ura total, indicando el grado de incremento por unidad de tiempo. Además, de un cronograma de actividades en el cual se refleje el proceso a seguir que permita cumplir estas metas.</w:t>
      </w:r>
    </w:p>
    <w:p w:rsidR="00103FDE" w:rsidRPr="0071315B" w:rsidRDefault="00103FDE" w:rsidP="0079039E">
      <w:pPr>
        <w:spacing w:line="252" w:lineRule="auto"/>
        <w:rPr>
          <w:rFonts w:cs="Arial"/>
          <w:color w:val="000000"/>
        </w:rPr>
      </w:pPr>
    </w:p>
    <w:p w:rsidR="00FC3C4B" w:rsidRPr="0071315B" w:rsidRDefault="003776F7" w:rsidP="0079039E">
      <w:pPr>
        <w:spacing w:line="252" w:lineRule="auto"/>
        <w:rPr>
          <w:rFonts w:cs="Arial"/>
          <w:color w:val="000000"/>
        </w:rPr>
      </w:pPr>
      <w:r w:rsidRPr="0071315B">
        <w:rPr>
          <w:rFonts w:cs="Arial"/>
          <w:color w:val="000000"/>
        </w:rPr>
        <w:t>En resumen, este numeral debe contener:</w:t>
      </w:r>
    </w:p>
    <w:p w:rsidR="00FC3C4B" w:rsidRPr="0071315B" w:rsidRDefault="00FC3C4B" w:rsidP="0079039E">
      <w:pPr>
        <w:spacing w:line="252" w:lineRule="auto"/>
        <w:rPr>
          <w:rFonts w:cs="Arial"/>
          <w:color w:val="000000"/>
        </w:rPr>
      </w:pPr>
    </w:p>
    <w:p w:rsidR="00FC3C4B" w:rsidRDefault="00FC3C4B" w:rsidP="003776F7">
      <w:pPr>
        <w:numPr>
          <w:ilvl w:val="0"/>
          <w:numId w:val="25"/>
        </w:numPr>
        <w:spacing w:line="252" w:lineRule="auto"/>
        <w:rPr>
          <w:rFonts w:cs="Arial"/>
          <w:color w:val="000000"/>
        </w:rPr>
      </w:pPr>
      <w:r w:rsidRPr="0071315B">
        <w:rPr>
          <w:rFonts w:cs="Arial"/>
          <w:color w:val="000000"/>
        </w:rPr>
        <w:t>Cobertura inicial (l</w:t>
      </w:r>
      <w:r w:rsidR="003776F7" w:rsidRPr="0071315B">
        <w:rPr>
          <w:rFonts w:cs="Arial"/>
          <w:color w:val="000000"/>
        </w:rPr>
        <w:t>istados</w:t>
      </w:r>
      <w:r w:rsidR="00836753">
        <w:rPr>
          <w:rFonts w:cs="Arial"/>
          <w:color w:val="000000"/>
        </w:rPr>
        <w:t xml:space="preserve"> de municipios cubiertos inicialmente con el SRS</w:t>
      </w:r>
      <w:r w:rsidR="003776F7" w:rsidRPr="0071315B">
        <w:rPr>
          <w:rFonts w:cs="Arial"/>
          <w:color w:val="000000"/>
        </w:rPr>
        <w:t>,</w:t>
      </w:r>
      <w:r w:rsidR="00836753">
        <w:rPr>
          <w:rFonts w:cs="Arial"/>
          <w:color w:val="000000"/>
        </w:rPr>
        <w:t xml:space="preserve"> cociente o porcentaje</w:t>
      </w:r>
      <w:r w:rsidR="003776F7" w:rsidRPr="0071315B">
        <w:rPr>
          <w:rFonts w:cs="Arial"/>
          <w:color w:val="000000"/>
        </w:rPr>
        <w:t xml:space="preserve"> </w:t>
      </w:r>
      <w:r w:rsidR="00836753">
        <w:rPr>
          <w:rFonts w:cs="Arial"/>
          <w:color w:val="000000"/>
        </w:rPr>
        <w:t>(</w:t>
      </w:r>
      <m:oMath>
        <m:f>
          <m:fPr>
            <m:ctrlPr>
              <w:rPr>
                <w:rFonts w:ascii="Cambria Math" w:hAnsi="Cambria Math" w:cs="Arial"/>
                <w:i/>
                <w:color w:val="000000"/>
              </w:rPr>
            </m:ctrlPr>
          </m:fPr>
          <m:num>
            <m:r>
              <w:rPr>
                <w:rFonts w:ascii="Cambria Math" w:hAnsi="Cambria Math" w:cs="Arial"/>
                <w:color w:val="000000"/>
              </w:rPr>
              <m:t>No de municipios cubiertos</m:t>
            </m:r>
          </m:num>
          <m:den>
            <m:r>
              <w:rPr>
                <w:rFonts w:ascii="Cambria Math" w:hAnsi="Cambria Math" w:cs="Arial"/>
                <w:color w:val="000000"/>
              </w:rPr>
              <m:t>No de municipios en los que se comercializan sus productos</m:t>
            </m:r>
          </m:den>
        </m:f>
        <m:r>
          <w:rPr>
            <w:rFonts w:ascii="Cambria Math" w:hAnsi="Cambria Math" w:cs="Arial"/>
            <w:color w:val="000000"/>
          </w:rPr>
          <m:t>×100)</m:t>
        </m:r>
      </m:oMath>
      <w:r w:rsidR="003776F7" w:rsidRPr="0071315B">
        <w:rPr>
          <w:rFonts w:cs="Arial"/>
          <w:color w:val="000000"/>
        </w:rPr>
        <w:t>).</w:t>
      </w:r>
    </w:p>
    <w:p w:rsidR="00DE501B" w:rsidRPr="0071315B" w:rsidRDefault="00DE501B" w:rsidP="00DE501B">
      <w:pPr>
        <w:spacing w:line="252" w:lineRule="auto"/>
        <w:ind w:left="720"/>
        <w:rPr>
          <w:rFonts w:cs="Arial"/>
          <w:color w:val="000000"/>
        </w:rPr>
      </w:pPr>
    </w:p>
    <w:p w:rsidR="00FC3C4B" w:rsidRPr="0071315B" w:rsidRDefault="00FC3C4B" w:rsidP="003776F7">
      <w:pPr>
        <w:numPr>
          <w:ilvl w:val="0"/>
          <w:numId w:val="25"/>
        </w:numPr>
        <w:spacing w:line="252" w:lineRule="auto"/>
        <w:rPr>
          <w:rFonts w:cs="Arial"/>
          <w:color w:val="000000"/>
        </w:rPr>
      </w:pPr>
      <w:r w:rsidRPr="0071315B">
        <w:rPr>
          <w:rFonts w:cs="Arial"/>
          <w:color w:val="000000"/>
        </w:rPr>
        <w:t>Gradualidad de increm</w:t>
      </w:r>
      <w:r w:rsidR="003776F7" w:rsidRPr="0071315B">
        <w:rPr>
          <w:rFonts w:cs="Arial"/>
          <w:color w:val="000000"/>
        </w:rPr>
        <w:t>ento de cobertura prevista</w:t>
      </w:r>
      <w:r w:rsidR="00836753">
        <w:rPr>
          <w:rFonts w:cs="Arial"/>
          <w:color w:val="000000"/>
        </w:rPr>
        <w:t xml:space="preserve"> (proyecciones y tiempo estimado de avance)</w:t>
      </w:r>
      <w:r w:rsidR="003776F7" w:rsidRPr="0071315B">
        <w:rPr>
          <w:rFonts w:cs="Arial"/>
          <w:color w:val="000000"/>
        </w:rPr>
        <w:t>.</w:t>
      </w:r>
    </w:p>
    <w:p w:rsidR="00FC3C4B" w:rsidRPr="0071315B" w:rsidRDefault="003776F7" w:rsidP="003776F7">
      <w:pPr>
        <w:numPr>
          <w:ilvl w:val="0"/>
          <w:numId w:val="25"/>
        </w:numPr>
        <w:spacing w:line="252" w:lineRule="auto"/>
        <w:rPr>
          <w:rFonts w:cs="Arial"/>
          <w:color w:val="000000"/>
        </w:rPr>
      </w:pPr>
      <w:r w:rsidRPr="0071315B">
        <w:rPr>
          <w:rFonts w:cs="Arial"/>
          <w:color w:val="000000"/>
        </w:rPr>
        <w:t>Cronograma de actividades.</w:t>
      </w:r>
    </w:p>
    <w:p w:rsidR="00FC3C4B" w:rsidRPr="0071315B" w:rsidRDefault="00FC3C4B" w:rsidP="0079039E">
      <w:pPr>
        <w:spacing w:line="252" w:lineRule="auto"/>
        <w:rPr>
          <w:rFonts w:cs="Arial"/>
          <w:color w:val="000000"/>
        </w:rPr>
      </w:pPr>
    </w:p>
    <w:p w:rsidR="003776F7" w:rsidRPr="0071315B" w:rsidRDefault="003776F7" w:rsidP="00BA4126">
      <w:pPr>
        <w:pStyle w:val="elementosist"/>
        <w:numPr>
          <w:ilvl w:val="0"/>
          <w:numId w:val="21"/>
        </w:numPr>
        <w:ind w:hanging="1080"/>
      </w:pPr>
      <w:bookmarkStart w:id="9" w:name="_Toc333477397"/>
      <w:r w:rsidRPr="0071315B">
        <w:t>ASPECTOS DE LA ESTRUCTURA ADMINISTRATIVA Y TÉCNICA</w:t>
      </w:r>
      <w:bookmarkEnd w:id="9"/>
    </w:p>
    <w:p w:rsidR="00BA4126" w:rsidRPr="0071315B" w:rsidRDefault="00BA4126" w:rsidP="00BA4126">
      <w:pPr>
        <w:pStyle w:val="elementosist"/>
        <w:numPr>
          <w:ilvl w:val="0"/>
          <w:numId w:val="0"/>
        </w:numPr>
        <w:ind w:left="1080"/>
      </w:pPr>
    </w:p>
    <w:p w:rsidR="00BA4126" w:rsidRPr="0071315B" w:rsidRDefault="00BA4126" w:rsidP="00BA4126">
      <w:pPr>
        <w:pStyle w:val="Prrafodelista"/>
        <w:numPr>
          <w:ilvl w:val="0"/>
          <w:numId w:val="26"/>
        </w:numPr>
        <w:spacing w:before="120" w:after="120" w:line="252" w:lineRule="auto"/>
        <w:contextualSpacing w:val="0"/>
        <w:jc w:val="left"/>
        <w:rPr>
          <w:rFonts w:cs="Arial"/>
          <w:b/>
          <w:vanish/>
          <w:color w:val="000000"/>
        </w:rPr>
      </w:pPr>
    </w:p>
    <w:p w:rsidR="00BA4126" w:rsidRPr="0071315B" w:rsidRDefault="00BA4126" w:rsidP="00BA4126">
      <w:pPr>
        <w:pStyle w:val="Prrafodelista"/>
        <w:numPr>
          <w:ilvl w:val="0"/>
          <w:numId w:val="26"/>
        </w:numPr>
        <w:spacing w:before="120" w:after="120" w:line="252" w:lineRule="auto"/>
        <w:contextualSpacing w:val="0"/>
        <w:jc w:val="left"/>
        <w:rPr>
          <w:rFonts w:cs="Arial"/>
          <w:b/>
          <w:vanish/>
          <w:color w:val="000000"/>
        </w:rPr>
      </w:pPr>
    </w:p>
    <w:p w:rsidR="00BA4126" w:rsidRPr="0071315B" w:rsidRDefault="00BA4126" w:rsidP="00BA4126">
      <w:pPr>
        <w:pStyle w:val="Prrafodelista"/>
        <w:numPr>
          <w:ilvl w:val="0"/>
          <w:numId w:val="26"/>
        </w:numPr>
        <w:spacing w:before="120" w:after="120" w:line="252" w:lineRule="auto"/>
        <w:contextualSpacing w:val="0"/>
        <w:jc w:val="left"/>
        <w:rPr>
          <w:rFonts w:cs="Arial"/>
          <w:b/>
          <w:vanish/>
          <w:color w:val="000000"/>
        </w:rPr>
      </w:pPr>
    </w:p>
    <w:p w:rsidR="00BA4126" w:rsidRPr="0071315B" w:rsidRDefault="00BA4126" w:rsidP="00BA4126">
      <w:pPr>
        <w:pStyle w:val="Prrafodelista"/>
        <w:numPr>
          <w:ilvl w:val="0"/>
          <w:numId w:val="26"/>
        </w:numPr>
        <w:spacing w:before="120" w:after="120" w:line="252" w:lineRule="auto"/>
        <w:contextualSpacing w:val="0"/>
        <w:jc w:val="left"/>
        <w:rPr>
          <w:rFonts w:cs="Arial"/>
          <w:b/>
          <w:vanish/>
          <w:color w:val="000000"/>
        </w:rPr>
      </w:pPr>
    </w:p>
    <w:p w:rsidR="00BA4126" w:rsidRPr="0071315B" w:rsidRDefault="00BA4126" w:rsidP="00BA4126">
      <w:pPr>
        <w:pStyle w:val="Prrafodelista"/>
        <w:numPr>
          <w:ilvl w:val="0"/>
          <w:numId w:val="26"/>
        </w:numPr>
        <w:spacing w:before="120" w:after="120" w:line="252" w:lineRule="auto"/>
        <w:contextualSpacing w:val="0"/>
        <w:jc w:val="left"/>
        <w:rPr>
          <w:rFonts w:cs="Arial"/>
          <w:b/>
          <w:vanish/>
          <w:color w:val="000000"/>
        </w:rPr>
      </w:pPr>
    </w:p>
    <w:p w:rsidR="00BA4126" w:rsidRPr="0071315B" w:rsidRDefault="00BA4126" w:rsidP="00BA4126">
      <w:pPr>
        <w:pStyle w:val="Prrafodelista"/>
        <w:numPr>
          <w:ilvl w:val="0"/>
          <w:numId w:val="26"/>
        </w:numPr>
        <w:spacing w:before="120" w:after="120" w:line="252" w:lineRule="auto"/>
        <w:contextualSpacing w:val="0"/>
        <w:jc w:val="left"/>
        <w:rPr>
          <w:rFonts w:cs="Arial"/>
          <w:b/>
          <w:vanish/>
          <w:color w:val="000000"/>
        </w:rPr>
      </w:pPr>
    </w:p>
    <w:p w:rsidR="00BA4126" w:rsidRPr="0071315B" w:rsidRDefault="00BA4126" w:rsidP="00BA4126">
      <w:pPr>
        <w:pStyle w:val="Prrafodelista"/>
        <w:numPr>
          <w:ilvl w:val="0"/>
          <w:numId w:val="26"/>
        </w:numPr>
        <w:spacing w:before="120" w:after="120" w:line="252" w:lineRule="auto"/>
        <w:contextualSpacing w:val="0"/>
        <w:jc w:val="left"/>
        <w:rPr>
          <w:rFonts w:cs="Arial"/>
          <w:b/>
          <w:vanish/>
          <w:color w:val="000000"/>
        </w:rPr>
      </w:pPr>
    </w:p>
    <w:p w:rsidR="00FC3C4B" w:rsidRPr="0071315B" w:rsidRDefault="00BA4126" w:rsidP="00BA4126">
      <w:pPr>
        <w:pStyle w:val="elementosist"/>
        <w:numPr>
          <w:ilvl w:val="1"/>
          <w:numId w:val="26"/>
        </w:numPr>
        <w:ind w:left="1134" w:hanging="1134"/>
      </w:pPr>
      <w:bookmarkStart w:id="10" w:name="_Toc333477398"/>
      <w:r w:rsidRPr="0071315B">
        <w:t>ORGANIGRAMA DEL SISTEMA</w:t>
      </w:r>
      <w:bookmarkEnd w:id="10"/>
    </w:p>
    <w:p w:rsidR="0028728A" w:rsidRDefault="0028728A" w:rsidP="00BA4126">
      <w:pPr>
        <w:spacing w:line="252" w:lineRule="auto"/>
        <w:rPr>
          <w:rFonts w:cs="Arial"/>
          <w:color w:val="000000"/>
        </w:rPr>
      </w:pPr>
    </w:p>
    <w:p w:rsidR="00FC3C4B" w:rsidRPr="0071315B" w:rsidRDefault="00BA4126" w:rsidP="00BA4126">
      <w:pPr>
        <w:spacing w:line="252" w:lineRule="auto"/>
        <w:rPr>
          <w:rFonts w:cs="Arial"/>
          <w:color w:val="000000"/>
        </w:rPr>
      </w:pPr>
      <w:r w:rsidRPr="0071315B">
        <w:rPr>
          <w:rFonts w:cs="Arial"/>
          <w:color w:val="000000"/>
        </w:rPr>
        <w:t xml:space="preserve">El objetivo, de un organigrama es presentar de forma esquemática todos los actores involucrados en el Sistema, señalando </w:t>
      </w:r>
      <w:r w:rsidR="00150962">
        <w:rPr>
          <w:rFonts w:cs="Arial"/>
          <w:color w:val="000000"/>
        </w:rPr>
        <w:t xml:space="preserve">claramente </w:t>
      </w:r>
      <w:r w:rsidRPr="0071315B">
        <w:rPr>
          <w:rFonts w:cs="Arial"/>
          <w:color w:val="000000"/>
        </w:rPr>
        <w:t xml:space="preserve">para cada </w:t>
      </w:r>
      <w:r w:rsidR="00150962">
        <w:rPr>
          <w:rFonts w:cs="Arial"/>
          <w:color w:val="000000"/>
        </w:rPr>
        <w:t>de ellos</w:t>
      </w:r>
      <w:r w:rsidR="00150962" w:rsidRPr="0071315B">
        <w:rPr>
          <w:rFonts w:cs="Arial"/>
          <w:color w:val="000000"/>
        </w:rPr>
        <w:t xml:space="preserve"> </w:t>
      </w:r>
      <w:r w:rsidR="00150962">
        <w:rPr>
          <w:rFonts w:cs="Arial"/>
          <w:color w:val="000000"/>
        </w:rPr>
        <w:t>su</w:t>
      </w:r>
      <w:r w:rsidR="00150962" w:rsidRPr="0071315B">
        <w:rPr>
          <w:rFonts w:cs="Arial"/>
          <w:color w:val="000000"/>
        </w:rPr>
        <w:t xml:space="preserve">s </w:t>
      </w:r>
      <w:r w:rsidRPr="0071315B">
        <w:rPr>
          <w:rFonts w:cs="Arial"/>
          <w:color w:val="000000"/>
        </w:rPr>
        <w:t xml:space="preserve">funciones y responsabilidades asociadas. Este suele ser jerárquico, es decir de mayor a menor poder de decisión y entre las representaciones más comunes se encuentran tablas, diagramas de flujo, </w:t>
      </w:r>
      <w:r w:rsidR="00150962">
        <w:rPr>
          <w:rFonts w:cs="Arial"/>
          <w:color w:val="000000"/>
        </w:rPr>
        <w:t>entre otros</w:t>
      </w:r>
      <w:r w:rsidRPr="0071315B">
        <w:rPr>
          <w:rFonts w:cs="Arial"/>
          <w:color w:val="000000"/>
        </w:rPr>
        <w:t>.</w:t>
      </w:r>
    </w:p>
    <w:p w:rsidR="00FC3C4B" w:rsidRPr="0071315B" w:rsidRDefault="00BA4126" w:rsidP="0079039E">
      <w:pPr>
        <w:spacing w:line="252" w:lineRule="auto"/>
        <w:rPr>
          <w:rFonts w:cs="Arial"/>
          <w:color w:val="000000"/>
        </w:rPr>
      </w:pPr>
      <w:r w:rsidRPr="0071315B">
        <w:rPr>
          <w:rFonts w:cs="Arial"/>
          <w:color w:val="000000"/>
        </w:rPr>
        <w:t xml:space="preserve"> </w:t>
      </w:r>
    </w:p>
    <w:p w:rsidR="00BA4126" w:rsidRDefault="008A1C2E" w:rsidP="0079039E">
      <w:pPr>
        <w:pStyle w:val="elementosist"/>
        <w:numPr>
          <w:ilvl w:val="1"/>
          <w:numId w:val="26"/>
        </w:numPr>
        <w:ind w:left="1134" w:hanging="1134"/>
      </w:pPr>
      <w:bookmarkStart w:id="11" w:name="_Toc333477399"/>
      <w:r w:rsidRPr="0071315B">
        <w:t xml:space="preserve">IDENTIFICACIÓN DE </w:t>
      </w:r>
      <w:r w:rsidR="00BA4126" w:rsidRPr="0071315B">
        <w:t xml:space="preserve"> PERSONAS ENCARGADAS DE LAS ACTIVIDADES DE MANEJO DE LOS RESIDUO</w:t>
      </w:r>
      <w:r w:rsidRPr="0071315B">
        <w:t>S.</w:t>
      </w:r>
      <w:bookmarkEnd w:id="11"/>
      <w:r w:rsidR="00BA4126" w:rsidRPr="0071315B">
        <w:t xml:space="preserve"> </w:t>
      </w:r>
    </w:p>
    <w:p w:rsidR="0028728A" w:rsidRPr="0028728A" w:rsidRDefault="0028728A" w:rsidP="0028728A">
      <w:pPr>
        <w:pStyle w:val="elementosist"/>
        <w:numPr>
          <w:ilvl w:val="0"/>
          <w:numId w:val="0"/>
        </w:numPr>
        <w:ind w:left="1134"/>
      </w:pPr>
    </w:p>
    <w:p w:rsidR="00FC3C4B" w:rsidRPr="0071315B" w:rsidRDefault="00FC3C4B" w:rsidP="0079039E">
      <w:pPr>
        <w:spacing w:line="252" w:lineRule="auto"/>
        <w:rPr>
          <w:rFonts w:cs="Arial"/>
          <w:color w:val="000000"/>
        </w:rPr>
      </w:pPr>
      <w:r w:rsidRPr="0071315B">
        <w:rPr>
          <w:rFonts w:cs="Arial"/>
          <w:color w:val="000000"/>
        </w:rPr>
        <w:t xml:space="preserve">Los requisitos para la identificación </w:t>
      </w:r>
      <w:r w:rsidR="00F566FF" w:rsidRPr="0071315B">
        <w:rPr>
          <w:rFonts w:cs="Arial"/>
          <w:color w:val="000000"/>
        </w:rPr>
        <w:t>de l</w:t>
      </w:r>
      <w:r w:rsidRPr="0071315B">
        <w:rPr>
          <w:rFonts w:cs="Arial"/>
          <w:color w:val="000000"/>
        </w:rPr>
        <w:t>as personas encargadas de las actividades de manejo</w:t>
      </w:r>
      <w:r w:rsidR="00F566FF" w:rsidRPr="0071315B">
        <w:rPr>
          <w:rFonts w:cs="Arial"/>
          <w:color w:val="000000"/>
        </w:rPr>
        <w:t xml:space="preserve"> de los residuos</w:t>
      </w:r>
      <w:r w:rsidRPr="0071315B">
        <w:rPr>
          <w:rFonts w:cs="Arial"/>
          <w:color w:val="000000"/>
        </w:rPr>
        <w:t xml:space="preserve"> (</w:t>
      </w:r>
      <w:r w:rsidR="00F566FF" w:rsidRPr="0071315B">
        <w:rPr>
          <w:rFonts w:cs="Arial"/>
          <w:color w:val="000000"/>
        </w:rPr>
        <w:t xml:space="preserve">recolección, transporte, </w:t>
      </w:r>
      <w:r w:rsidRPr="0071315B">
        <w:rPr>
          <w:rFonts w:cs="Arial"/>
          <w:color w:val="000000"/>
        </w:rPr>
        <w:t>almacenamiento, aprovechamiento, valorización, tratamiento y/o disposición final</w:t>
      </w:r>
      <w:r w:rsidR="00F566FF" w:rsidRPr="0071315B">
        <w:rPr>
          <w:rFonts w:cs="Arial"/>
          <w:color w:val="000000"/>
        </w:rPr>
        <w:t>, según sea el caso</w:t>
      </w:r>
      <w:r w:rsidRPr="0071315B">
        <w:rPr>
          <w:rFonts w:cs="Arial"/>
          <w:color w:val="000000"/>
        </w:rPr>
        <w:t xml:space="preserve">) están consignados en el certificado de existencia y representación legal de la empresa, </w:t>
      </w:r>
      <w:r w:rsidR="00150962">
        <w:rPr>
          <w:rFonts w:cs="Arial"/>
          <w:color w:val="000000"/>
        </w:rPr>
        <w:t xml:space="preserve">e </w:t>
      </w:r>
      <w:r w:rsidRPr="0071315B">
        <w:rPr>
          <w:rFonts w:cs="Arial"/>
          <w:color w:val="000000"/>
        </w:rPr>
        <w:t>incluyen:</w:t>
      </w:r>
    </w:p>
    <w:p w:rsidR="00FC3C4B" w:rsidRPr="0071315B" w:rsidRDefault="00FC3C4B" w:rsidP="0079039E">
      <w:pPr>
        <w:spacing w:line="252" w:lineRule="auto"/>
        <w:rPr>
          <w:rFonts w:cs="Arial"/>
          <w:color w:val="000000"/>
        </w:rPr>
      </w:pPr>
    </w:p>
    <w:p w:rsidR="00FC3C4B" w:rsidRPr="0071315B" w:rsidRDefault="00FC3C4B" w:rsidP="004E1A62">
      <w:pPr>
        <w:numPr>
          <w:ilvl w:val="0"/>
          <w:numId w:val="37"/>
        </w:numPr>
        <w:spacing w:line="252" w:lineRule="auto"/>
        <w:rPr>
          <w:rFonts w:cs="Arial"/>
          <w:color w:val="000000"/>
        </w:rPr>
      </w:pPr>
      <w:r w:rsidRPr="0071315B">
        <w:rPr>
          <w:rFonts w:cs="Arial"/>
          <w:color w:val="000000"/>
        </w:rPr>
        <w:t>Razón social (nombre de la empresa que coincide con el registrado en el certificado</w:t>
      </w:r>
      <w:r w:rsidR="009170B6">
        <w:rPr>
          <w:rFonts w:cs="Arial"/>
          <w:color w:val="000000"/>
        </w:rPr>
        <w:t xml:space="preserve"> de existencia y representación legal</w:t>
      </w:r>
      <w:r w:rsidRPr="0071315B">
        <w:rPr>
          <w:rFonts w:cs="Arial"/>
          <w:color w:val="000000"/>
        </w:rPr>
        <w:t>)</w:t>
      </w:r>
    </w:p>
    <w:p w:rsidR="00FC3C4B" w:rsidRPr="0071315B" w:rsidRDefault="00FC3C4B" w:rsidP="004E1A62">
      <w:pPr>
        <w:numPr>
          <w:ilvl w:val="0"/>
          <w:numId w:val="37"/>
        </w:numPr>
        <w:spacing w:line="252" w:lineRule="auto"/>
        <w:rPr>
          <w:rFonts w:cs="Arial"/>
          <w:color w:val="000000"/>
        </w:rPr>
      </w:pPr>
      <w:r w:rsidRPr="0071315B">
        <w:rPr>
          <w:rFonts w:cs="Arial"/>
          <w:color w:val="000000"/>
        </w:rPr>
        <w:t>NIT</w:t>
      </w:r>
    </w:p>
    <w:p w:rsidR="00FC3C4B" w:rsidRPr="0071315B" w:rsidRDefault="00FC3C4B" w:rsidP="004E1A62">
      <w:pPr>
        <w:numPr>
          <w:ilvl w:val="0"/>
          <w:numId w:val="37"/>
        </w:numPr>
        <w:spacing w:line="252" w:lineRule="auto"/>
        <w:rPr>
          <w:rFonts w:cs="Arial"/>
          <w:color w:val="000000"/>
        </w:rPr>
      </w:pPr>
      <w:r w:rsidRPr="0071315B">
        <w:rPr>
          <w:rFonts w:cs="Arial"/>
          <w:color w:val="000000"/>
        </w:rPr>
        <w:t>Dirección, municipio y departamento.</w:t>
      </w:r>
    </w:p>
    <w:p w:rsidR="00FC3C4B" w:rsidRDefault="00FC3C4B" w:rsidP="004E1A62">
      <w:pPr>
        <w:numPr>
          <w:ilvl w:val="0"/>
          <w:numId w:val="37"/>
        </w:numPr>
        <w:spacing w:line="252" w:lineRule="auto"/>
        <w:rPr>
          <w:rFonts w:cs="Arial"/>
          <w:color w:val="000000"/>
        </w:rPr>
      </w:pPr>
      <w:r w:rsidRPr="0071315B">
        <w:rPr>
          <w:rFonts w:cs="Arial"/>
          <w:color w:val="000000"/>
        </w:rPr>
        <w:t>Teléfono de contacto.</w:t>
      </w:r>
    </w:p>
    <w:p w:rsidR="00150962" w:rsidRPr="0071315B" w:rsidRDefault="00837DC9" w:rsidP="004E1A62">
      <w:pPr>
        <w:numPr>
          <w:ilvl w:val="0"/>
          <w:numId w:val="37"/>
        </w:numPr>
        <w:spacing w:line="252" w:lineRule="auto"/>
        <w:rPr>
          <w:rFonts w:cs="Arial"/>
          <w:color w:val="000000"/>
        </w:rPr>
      </w:pPr>
      <w:r>
        <w:rPr>
          <w:rFonts w:cs="Arial"/>
          <w:color w:val="000000"/>
        </w:rPr>
        <w:t>Actividades</w:t>
      </w:r>
      <w:r w:rsidR="009170B6">
        <w:rPr>
          <w:rFonts w:cs="Arial"/>
          <w:color w:val="000000"/>
        </w:rPr>
        <w:t xml:space="preserve"> (</w:t>
      </w:r>
      <w:r>
        <w:rPr>
          <w:rFonts w:cs="Arial"/>
          <w:color w:val="000000"/>
        </w:rPr>
        <w:t>D</w:t>
      </w:r>
      <w:r w:rsidR="009170B6">
        <w:rPr>
          <w:rFonts w:cs="Arial"/>
          <w:color w:val="000000"/>
        </w:rPr>
        <w:t xml:space="preserve">eben coincidir con las contenidas en el </w:t>
      </w:r>
      <w:r>
        <w:rPr>
          <w:rFonts w:cs="Arial"/>
          <w:color w:val="000000"/>
        </w:rPr>
        <w:t xml:space="preserve">objeto social del </w:t>
      </w:r>
      <w:r w:rsidR="009170B6">
        <w:rPr>
          <w:rFonts w:cs="Arial"/>
          <w:color w:val="000000"/>
        </w:rPr>
        <w:t>certificado de existencia y representación legal</w:t>
      </w:r>
      <w:r>
        <w:rPr>
          <w:rFonts w:cs="Arial"/>
          <w:color w:val="000000"/>
        </w:rPr>
        <w:t>)</w:t>
      </w:r>
    </w:p>
    <w:p w:rsidR="00FC3C4B" w:rsidRPr="0071315B" w:rsidRDefault="00FC3C4B" w:rsidP="0079039E">
      <w:pPr>
        <w:spacing w:line="252" w:lineRule="auto"/>
        <w:rPr>
          <w:rFonts w:cs="Arial"/>
          <w:color w:val="000000"/>
        </w:rPr>
      </w:pPr>
    </w:p>
    <w:p w:rsidR="00F566FF" w:rsidRPr="0071315B" w:rsidRDefault="00F566FF" w:rsidP="0079039E">
      <w:pPr>
        <w:spacing w:line="252" w:lineRule="auto"/>
        <w:rPr>
          <w:rFonts w:cs="Arial"/>
          <w:color w:val="000000"/>
        </w:rPr>
      </w:pPr>
      <w:r w:rsidRPr="0071315B">
        <w:rPr>
          <w:rFonts w:cs="Arial"/>
          <w:color w:val="000000"/>
        </w:rPr>
        <w:t xml:space="preserve">Para la selección de estos actores, se recomienda verificar el estado de cumplimiento de las normas de carácter ambiental vigentes, para </w:t>
      </w:r>
      <w:r w:rsidR="00975BB8" w:rsidRPr="0071315B">
        <w:rPr>
          <w:rFonts w:cs="Arial"/>
          <w:color w:val="000000"/>
        </w:rPr>
        <w:t>el desarrollo de cada actividad, consultando  a las Autoridades Ambientales Regionales de la Jurisdicción en donde se encuentra la sede de la empresa.</w:t>
      </w:r>
    </w:p>
    <w:p w:rsidR="00DE0C72" w:rsidRDefault="00DE0C72" w:rsidP="0079039E">
      <w:pPr>
        <w:spacing w:line="252" w:lineRule="auto"/>
        <w:rPr>
          <w:rFonts w:cs="Arial"/>
          <w:color w:val="000000"/>
        </w:rPr>
      </w:pPr>
    </w:p>
    <w:p w:rsidR="00DE0C72" w:rsidRPr="0071315B" w:rsidRDefault="00DE0C72" w:rsidP="00DE0C72">
      <w:pPr>
        <w:pStyle w:val="elementosist"/>
        <w:numPr>
          <w:ilvl w:val="1"/>
          <w:numId w:val="26"/>
        </w:numPr>
        <w:ind w:left="1134" w:hanging="1134"/>
      </w:pPr>
      <w:bookmarkStart w:id="12" w:name="_Toc333477400"/>
      <w:r w:rsidRPr="0071315B">
        <w:t>LICENCIAS, PERMISOS Y/O AUTORIZACIONES AMBIENTALES ASOCIADAS A LAS ACTIVIDADES DE MANEJO DE RESIDUOS.</w:t>
      </w:r>
      <w:bookmarkEnd w:id="12"/>
      <w:r w:rsidRPr="0071315B">
        <w:t xml:space="preserve"> </w:t>
      </w:r>
    </w:p>
    <w:p w:rsidR="00FC3C4B" w:rsidRPr="0071315B" w:rsidRDefault="00FC3C4B" w:rsidP="009614D5">
      <w:pPr>
        <w:spacing w:line="252" w:lineRule="auto"/>
        <w:rPr>
          <w:rFonts w:cs="Arial"/>
          <w:b/>
          <w:color w:val="000000"/>
        </w:rPr>
      </w:pPr>
    </w:p>
    <w:p w:rsidR="00975BB8" w:rsidRPr="0071315B" w:rsidRDefault="007C6DD2" w:rsidP="009614D5">
      <w:pPr>
        <w:spacing w:line="252" w:lineRule="auto"/>
        <w:rPr>
          <w:rFonts w:cs="Arial"/>
        </w:rPr>
      </w:pPr>
      <w:r w:rsidRPr="0071315B">
        <w:rPr>
          <w:rFonts w:cs="Arial"/>
          <w:color w:val="000000"/>
        </w:rPr>
        <w:t xml:space="preserve">Conforme a lo establecido en el Decreto 2820 de 2010, las actividades de </w:t>
      </w:r>
      <w:r w:rsidRPr="0071315B">
        <w:rPr>
          <w:rFonts w:cs="Arial"/>
        </w:rPr>
        <w:t>almacenamiento, tratamiento, aprovechamiento (recuperación/reciclado) y/o disposición final de residuos de aparatos eléctricos y electrónicos (RAEE)  y residuos peligrosos (RESPEL)</w:t>
      </w:r>
      <w:r w:rsidR="0047490D" w:rsidRPr="0071315B">
        <w:rPr>
          <w:rFonts w:cs="Arial"/>
        </w:rPr>
        <w:t>,</w:t>
      </w:r>
      <w:r w:rsidRPr="0071315B">
        <w:rPr>
          <w:rFonts w:cs="Arial"/>
        </w:rPr>
        <w:t xml:space="preserve"> requieren de licencia ambiental otorgada por las Autoridades Ambientales Regionales de la Jurisdicción en donde se realice la actividad</w:t>
      </w:r>
      <w:r w:rsidR="00975BB8" w:rsidRPr="0071315B">
        <w:rPr>
          <w:rFonts w:cs="Arial"/>
        </w:rPr>
        <w:t>.</w:t>
      </w:r>
    </w:p>
    <w:p w:rsidR="00975BB8" w:rsidRPr="0071315B" w:rsidRDefault="00975BB8" w:rsidP="009614D5">
      <w:pPr>
        <w:spacing w:line="252" w:lineRule="auto"/>
        <w:rPr>
          <w:rFonts w:cs="Arial"/>
        </w:rPr>
      </w:pPr>
    </w:p>
    <w:p w:rsidR="007C6DD2" w:rsidRPr="0071315B" w:rsidRDefault="00975BB8" w:rsidP="009614D5">
      <w:pPr>
        <w:spacing w:line="252" w:lineRule="auto"/>
        <w:rPr>
          <w:rFonts w:cs="Arial"/>
          <w:color w:val="000000"/>
        </w:rPr>
      </w:pPr>
      <w:r w:rsidRPr="0071315B">
        <w:rPr>
          <w:rFonts w:cs="Arial"/>
          <w:color w:val="000000"/>
        </w:rPr>
        <w:t>De</w:t>
      </w:r>
      <w:r w:rsidR="007C6DD2" w:rsidRPr="0071315B">
        <w:rPr>
          <w:rFonts w:cs="Arial"/>
          <w:color w:val="000000"/>
        </w:rPr>
        <w:t xml:space="preserve"> acuerdo con lo anterior, para la gestión de los residuos </w:t>
      </w:r>
      <w:r w:rsidR="003858A3" w:rsidRPr="0071315B">
        <w:rPr>
          <w:rFonts w:cs="Arial"/>
          <w:color w:val="000000"/>
        </w:rPr>
        <w:t>de pilas y/o acumuladores recolectados</w:t>
      </w:r>
      <w:r w:rsidR="007C6DD2" w:rsidRPr="0071315B">
        <w:rPr>
          <w:rFonts w:cs="Arial"/>
          <w:color w:val="000000"/>
        </w:rPr>
        <w:t xml:space="preserve"> por el </w:t>
      </w:r>
      <w:r w:rsidR="004C11EB">
        <w:rPr>
          <w:rFonts w:cs="Arial"/>
          <w:color w:val="000000"/>
        </w:rPr>
        <w:t>SRS</w:t>
      </w:r>
      <w:r w:rsidR="007C6DD2" w:rsidRPr="0071315B">
        <w:rPr>
          <w:rFonts w:cs="Arial"/>
          <w:color w:val="000000"/>
        </w:rPr>
        <w:t xml:space="preserve">, es necesario </w:t>
      </w:r>
      <w:r w:rsidR="0047490D" w:rsidRPr="0071315B">
        <w:rPr>
          <w:rFonts w:cs="Arial"/>
          <w:color w:val="000000"/>
        </w:rPr>
        <w:t>realizar</w:t>
      </w:r>
      <w:r w:rsidR="007C6DD2" w:rsidRPr="0071315B">
        <w:rPr>
          <w:rFonts w:cs="Arial"/>
          <w:color w:val="000000"/>
        </w:rPr>
        <w:t xml:space="preserve"> </w:t>
      </w:r>
      <w:r w:rsidR="004C11EB">
        <w:rPr>
          <w:rFonts w:cs="Arial"/>
          <w:color w:val="000000"/>
        </w:rPr>
        <w:t>varias</w:t>
      </w:r>
      <w:r w:rsidR="004C11EB" w:rsidRPr="0071315B">
        <w:rPr>
          <w:rFonts w:cs="Arial"/>
          <w:color w:val="000000"/>
        </w:rPr>
        <w:t xml:space="preserve"> </w:t>
      </w:r>
      <w:r w:rsidR="007C6DD2" w:rsidRPr="0071315B">
        <w:rPr>
          <w:rFonts w:cs="Arial"/>
          <w:color w:val="000000"/>
        </w:rPr>
        <w:t xml:space="preserve">de </w:t>
      </w:r>
      <w:r w:rsidR="003858A3" w:rsidRPr="0071315B">
        <w:rPr>
          <w:rFonts w:cs="Arial"/>
          <w:color w:val="000000"/>
        </w:rPr>
        <w:t>las</w:t>
      </w:r>
      <w:r w:rsidR="007C6DD2" w:rsidRPr="0071315B">
        <w:rPr>
          <w:rFonts w:cs="Arial"/>
          <w:color w:val="000000"/>
        </w:rPr>
        <w:t xml:space="preserve"> actividades</w:t>
      </w:r>
      <w:r w:rsidR="003858A3" w:rsidRPr="0071315B">
        <w:rPr>
          <w:rFonts w:cs="Arial"/>
          <w:color w:val="000000"/>
        </w:rPr>
        <w:t xml:space="preserve"> mencionadas</w:t>
      </w:r>
      <w:r w:rsidR="007C6DD2" w:rsidRPr="0071315B">
        <w:rPr>
          <w:rFonts w:cs="Arial"/>
          <w:color w:val="000000"/>
        </w:rPr>
        <w:t xml:space="preserve">, por </w:t>
      </w:r>
      <w:r w:rsidRPr="0071315B">
        <w:rPr>
          <w:rFonts w:cs="Arial"/>
          <w:color w:val="000000"/>
        </w:rPr>
        <w:t>lo tanto</w:t>
      </w:r>
      <w:r w:rsidR="007C6DD2" w:rsidRPr="0071315B">
        <w:rPr>
          <w:rFonts w:cs="Arial"/>
          <w:color w:val="000000"/>
        </w:rPr>
        <w:t xml:space="preserve"> </w:t>
      </w:r>
      <w:r w:rsidRPr="0071315B">
        <w:rPr>
          <w:rFonts w:cs="Arial"/>
          <w:color w:val="000000"/>
        </w:rPr>
        <w:t>se debe</w:t>
      </w:r>
      <w:r w:rsidR="007C6DD2" w:rsidRPr="0071315B">
        <w:rPr>
          <w:rFonts w:cs="Arial"/>
          <w:color w:val="000000"/>
        </w:rPr>
        <w:t xml:space="preserve"> allegar copia de las  Licencias </w:t>
      </w:r>
      <w:r w:rsidR="004C11EB">
        <w:rPr>
          <w:rFonts w:cs="Arial"/>
          <w:color w:val="000000"/>
        </w:rPr>
        <w:t xml:space="preserve">Ambientales </w:t>
      </w:r>
      <w:r w:rsidR="007C6DD2" w:rsidRPr="0071315B">
        <w:rPr>
          <w:rFonts w:cs="Arial"/>
          <w:color w:val="000000"/>
        </w:rPr>
        <w:t>correspondientes. Para el caso de empresas que se encuentren</w:t>
      </w:r>
      <w:r w:rsidRPr="0071315B">
        <w:rPr>
          <w:rFonts w:cs="Arial"/>
          <w:color w:val="000000"/>
        </w:rPr>
        <w:t xml:space="preserve"> en régimen de transición (se rigen por normas anteriores)</w:t>
      </w:r>
      <w:r w:rsidR="007C6DD2" w:rsidRPr="0071315B">
        <w:rPr>
          <w:rFonts w:cs="Arial"/>
          <w:color w:val="000000"/>
        </w:rPr>
        <w:t xml:space="preserve">, se debe allegar copia de los permisos </w:t>
      </w:r>
      <w:r w:rsidRPr="0071315B">
        <w:rPr>
          <w:rFonts w:cs="Arial"/>
          <w:color w:val="000000"/>
        </w:rPr>
        <w:t>y</w:t>
      </w:r>
      <w:r w:rsidR="007C6DD2" w:rsidRPr="0071315B">
        <w:rPr>
          <w:rFonts w:cs="Arial"/>
          <w:color w:val="000000"/>
        </w:rPr>
        <w:t xml:space="preserve">/o autorizaciones a que </w:t>
      </w:r>
      <w:r w:rsidR="004C11EB">
        <w:rPr>
          <w:rFonts w:cs="Arial"/>
          <w:color w:val="000000"/>
        </w:rPr>
        <w:t>haya</w:t>
      </w:r>
      <w:r w:rsidR="004C11EB" w:rsidRPr="0071315B">
        <w:rPr>
          <w:rFonts w:cs="Arial"/>
          <w:color w:val="000000"/>
        </w:rPr>
        <w:t xml:space="preserve"> </w:t>
      </w:r>
      <w:r w:rsidRPr="0071315B">
        <w:rPr>
          <w:rFonts w:cs="Arial"/>
          <w:color w:val="000000"/>
        </w:rPr>
        <w:t>lugar, como ejemplo de estos casos, se pueden citar empresas que tiene</w:t>
      </w:r>
      <w:r w:rsidR="004C11EB">
        <w:rPr>
          <w:rFonts w:cs="Arial"/>
          <w:color w:val="000000"/>
        </w:rPr>
        <w:t>n</w:t>
      </w:r>
      <w:r w:rsidRPr="0071315B">
        <w:rPr>
          <w:rFonts w:cs="Arial"/>
          <w:color w:val="000000"/>
        </w:rPr>
        <w:t xml:space="preserve"> aprobado mediante Resolución un plan de manejo ambiental, pero que requieren de renovación periódica del permiso de emisiones atmosféricas y de vertimientos.</w:t>
      </w:r>
    </w:p>
    <w:p w:rsidR="00975BB8" w:rsidRPr="0071315B" w:rsidRDefault="00975BB8" w:rsidP="0079039E">
      <w:pPr>
        <w:spacing w:line="252" w:lineRule="auto"/>
        <w:rPr>
          <w:rFonts w:cs="Arial"/>
          <w:color w:val="000000"/>
        </w:rPr>
      </w:pPr>
    </w:p>
    <w:p w:rsidR="00FC3C4B" w:rsidRPr="0071315B" w:rsidRDefault="00FC3C4B" w:rsidP="0079039E">
      <w:pPr>
        <w:spacing w:line="252" w:lineRule="auto"/>
        <w:rPr>
          <w:rFonts w:cs="Arial"/>
          <w:color w:val="000000"/>
        </w:rPr>
      </w:pPr>
      <w:r w:rsidRPr="0071315B">
        <w:rPr>
          <w:rFonts w:cs="Arial"/>
          <w:color w:val="000000"/>
        </w:rPr>
        <w:t>Los productores podrán citar documentos enviados previamente, no solamente por ellos mismos sino por otros productores, para dar cuenta de éstos soportes.</w:t>
      </w:r>
    </w:p>
    <w:p w:rsidR="00FC3C4B" w:rsidRPr="0071315B" w:rsidRDefault="00FC3C4B" w:rsidP="0079039E">
      <w:pPr>
        <w:spacing w:line="252" w:lineRule="auto"/>
        <w:rPr>
          <w:rFonts w:cs="Arial"/>
          <w:color w:val="000000"/>
        </w:rPr>
      </w:pPr>
    </w:p>
    <w:p w:rsidR="003858A3" w:rsidRDefault="00975BB8" w:rsidP="0079039E">
      <w:pPr>
        <w:pStyle w:val="elementosist"/>
        <w:numPr>
          <w:ilvl w:val="1"/>
          <w:numId w:val="26"/>
        </w:numPr>
        <w:ind w:left="1134" w:hanging="1134"/>
      </w:pPr>
      <w:bookmarkStart w:id="13" w:name="_Toc333477401"/>
      <w:r w:rsidRPr="0071315B">
        <w:t xml:space="preserve">DESCRIPCIÓN Y LOCALIZACIÓN DE LOS PUNTOS DE RECOLECCIÓN, CENTROS DE ACOPIO </w:t>
      </w:r>
      <w:r w:rsidR="00B93FDD">
        <w:t xml:space="preserve">O </w:t>
      </w:r>
      <w:r w:rsidRPr="0071315B">
        <w:t xml:space="preserve">MECANISMOS </w:t>
      </w:r>
      <w:r w:rsidR="00B93FDD">
        <w:t xml:space="preserve">DE RECOLECCIÓN </w:t>
      </w:r>
      <w:r w:rsidRPr="0071315B">
        <w:t>EQUIVALENTES.</w:t>
      </w:r>
      <w:bookmarkEnd w:id="13"/>
      <w:r w:rsidRPr="0071315B">
        <w:t xml:space="preserve"> </w:t>
      </w:r>
    </w:p>
    <w:p w:rsidR="009E0EA4" w:rsidRPr="0071315B" w:rsidRDefault="003858A3" w:rsidP="0079039E">
      <w:pPr>
        <w:spacing w:line="252" w:lineRule="auto"/>
        <w:rPr>
          <w:rFonts w:cs="Arial"/>
          <w:color w:val="000000"/>
        </w:rPr>
      </w:pPr>
      <w:r w:rsidRPr="0071315B">
        <w:rPr>
          <w:rFonts w:cs="Arial"/>
          <w:color w:val="000000"/>
        </w:rPr>
        <w:t xml:space="preserve">Este componente es el cuerpo principal del </w:t>
      </w:r>
      <w:r w:rsidR="00B93FDD">
        <w:rPr>
          <w:rFonts w:cs="Arial"/>
          <w:color w:val="000000"/>
        </w:rPr>
        <w:t>SRS</w:t>
      </w:r>
      <w:r w:rsidR="00B93FDD" w:rsidRPr="0071315B">
        <w:rPr>
          <w:rFonts w:cs="Arial"/>
          <w:color w:val="000000"/>
        </w:rPr>
        <w:t xml:space="preserve"> </w:t>
      </w:r>
      <w:r w:rsidR="00731D69" w:rsidRPr="0071315B">
        <w:rPr>
          <w:rFonts w:cs="Arial"/>
          <w:color w:val="000000"/>
        </w:rPr>
        <w:t xml:space="preserve">dado que </w:t>
      </w:r>
      <w:r w:rsidRPr="0071315B">
        <w:rPr>
          <w:rFonts w:cs="Arial"/>
          <w:color w:val="000000"/>
        </w:rPr>
        <w:t>describe los procesos de logística a implementar para lograr la devolución de los residuos de pilas y/o acumuladores por parte de los usuarios finales</w:t>
      </w:r>
      <w:r w:rsidR="009E0EA4" w:rsidRPr="0071315B">
        <w:rPr>
          <w:rFonts w:cs="Arial"/>
          <w:color w:val="000000"/>
        </w:rPr>
        <w:t xml:space="preserve"> y así cumplir con la meta mínima de recolección establecida.</w:t>
      </w:r>
    </w:p>
    <w:p w:rsidR="009E0EA4" w:rsidRPr="0071315B" w:rsidRDefault="009E0EA4" w:rsidP="0079039E">
      <w:pPr>
        <w:spacing w:line="252" w:lineRule="auto"/>
        <w:rPr>
          <w:rFonts w:cs="Arial"/>
          <w:color w:val="000000"/>
        </w:rPr>
      </w:pPr>
    </w:p>
    <w:p w:rsidR="009E0EA4" w:rsidRPr="0071315B" w:rsidRDefault="009E0EA4" w:rsidP="0079039E">
      <w:pPr>
        <w:spacing w:line="252" w:lineRule="auto"/>
        <w:rPr>
          <w:rFonts w:cs="Arial"/>
          <w:color w:val="000000"/>
        </w:rPr>
      </w:pPr>
      <w:r w:rsidRPr="0071315B">
        <w:rPr>
          <w:rFonts w:cs="Arial"/>
          <w:color w:val="000000"/>
        </w:rPr>
        <w:t>Los procesos a implementar se clasifican en tres categorías:</w:t>
      </w:r>
    </w:p>
    <w:p w:rsidR="009E0EA4" w:rsidRPr="0071315B" w:rsidRDefault="009E0EA4" w:rsidP="0079039E">
      <w:pPr>
        <w:spacing w:line="252" w:lineRule="auto"/>
        <w:rPr>
          <w:rFonts w:cs="Arial"/>
          <w:color w:val="000000"/>
        </w:rPr>
      </w:pPr>
    </w:p>
    <w:p w:rsidR="009E0EA4" w:rsidRPr="0071315B" w:rsidRDefault="009E0EA4" w:rsidP="00941324">
      <w:pPr>
        <w:pStyle w:val="Prrafodelista"/>
        <w:numPr>
          <w:ilvl w:val="0"/>
          <w:numId w:val="28"/>
        </w:numPr>
        <w:spacing w:line="252" w:lineRule="auto"/>
        <w:rPr>
          <w:rFonts w:cs="Arial"/>
          <w:color w:val="000000"/>
        </w:rPr>
      </w:pPr>
      <w:r w:rsidRPr="0071315B">
        <w:rPr>
          <w:rFonts w:cs="Arial"/>
          <w:color w:val="000000"/>
        </w:rPr>
        <w:t xml:space="preserve">Puntos de </w:t>
      </w:r>
      <w:r w:rsidR="00731D69" w:rsidRPr="0071315B">
        <w:rPr>
          <w:rFonts w:cs="Arial"/>
          <w:color w:val="000000"/>
        </w:rPr>
        <w:t>r</w:t>
      </w:r>
      <w:r w:rsidRPr="0071315B">
        <w:rPr>
          <w:rFonts w:cs="Arial"/>
          <w:color w:val="000000"/>
        </w:rPr>
        <w:t>ecolección</w:t>
      </w:r>
    </w:p>
    <w:p w:rsidR="009E0EA4" w:rsidRPr="0071315B" w:rsidRDefault="009E0EA4" w:rsidP="009E0EA4">
      <w:pPr>
        <w:pStyle w:val="Prrafodelista"/>
        <w:numPr>
          <w:ilvl w:val="0"/>
          <w:numId w:val="28"/>
        </w:numPr>
        <w:spacing w:line="252" w:lineRule="auto"/>
        <w:rPr>
          <w:rFonts w:cs="Arial"/>
          <w:color w:val="000000"/>
        </w:rPr>
      </w:pPr>
      <w:r w:rsidRPr="0071315B">
        <w:rPr>
          <w:rFonts w:cs="Arial"/>
          <w:color w:val="000000"/>
        </w:rPr>
        <w:t xml:space="preserve">Mecanismos </w:t>
      </w:r>
      <w:r w:rsidR="00B93FDD">
        <w:rPr>
          <w:rFonts w:cs="Arial"/>
          <w:color w:val="000000"/>
        </w:rPr>
        <w:t xml:space="preserve">de recolección </w:t>
      </w:r>
      <w:r w:rsidRPr="0071315B">
        <w:rPr>
          <w:rFonts w:cs="Arial"/>
          <w:color w:val="000000"/>
        </w:rPr>
        <w:t>equivalente</w:t>
      </w:r>
    </w:p>
    <w:p w:rsidR="00941324" w:rsidRPr="0071315B" w:rsidRDefault="00941324" w:rsidP="00941324">
      <w:pPr>
        <w:pStyle w:val="Prrafodelista"/>
        <w:numPr>
          <w:ilvl w:val="0"/>
          <w:numId w:val="28"/>
        </w:numPr>
        <w:spacing w:line="252" w:lineRule="auto"/>
        <w:rPr>
          <w:rFonts w:cs="Arial"/>
          <w:color w:val="000000"/>
        </w:rPr>
      </w:pPr>
      <w:r w:rsidRPr="0071315B">
        <w:rPr>
          <w:rFonts w:cs="Arial"/>
          <w:color w:val="000000"/>
        </w:rPr>
        <w:t>Centros de acopio</w:t>
      </w:r>
    </w:p>
    <w:p w:rsidR="009E0EA4" w:rsidRPr="0071315B" w:rsidRDefault="009E0EA4" w:rsidP="009E0EA4">
      <w:pPr>
        <w:spacing w:line="252" w:lineRule="auto"/>
        <w:rPr>
          <w:rFonts w:cs="Arial"/>
          <w:color w:val="000000"/>
        </w:rPr>
      </w:pPr>
    </w:p>
    <w:p w:rsidR="00D53E6E" w:rsidRPr="0071315B" w:rsidRDefault="00731D69" w:rsidP="009E0EA4">
      <w:pPr>
        <w:spacing w:line="252" w:lineRule="auto"/>
        <w:rPr>
          <w:rFonts w:cs="Arial"/>
          <w:color w:val="000000"/>
        </w:rPr>
      </w:pPr>
      <w:r w:rsidRPr="0071315B">
        <w:rPr>
          <w:rFonts w:cs="Arial"/>
          <w:color w:val="000000"/>
        </w:rPr>
        <w:t xml:space="preserve">Lo puntos de recolección son sitios o lugares acondicionados con </w:t>
      </w:r>
      <w:r w:rsidR="00D53E6E" w:rsidRPr="0071315B">
        <w:rPr>
          <w:rFonts w:cs="Arial"/>
          <w:color w:val="000000"/>
        </w:rPr>
        <w:t>infraestructura</w:t>
      </w:r>
      <w:r w:rsidR="00A63792" w:rsidRPr="0071315B">
        <w:rPr>
          <w:rFonts w:cs="Arial"/>
          <w:color w:val="000000"/>
        </w:rPr>
        <w:t xml:space="preserve"> </w:t>
      </w:r>
      <w:r w:rsidR="00D53E6E" w:rsidRPr="0071315B">
        <w:rPr>
          <w:rFonts w:cs="Arial"/>
          <w:color w:val="000000"/>
        </w:rPr>
        <w:t xml:space="preserve">para recolectar residuos de pilas y/o acumuladores provenientes de usuarios finales, estos deben estar ubicados en establecimientos de fácil acceso al consumidor, tales como centros comerciales, almacenes de distribución, instituciones publico privadas, etc. </w:t>
      </w:r>
    </w:p>
    <w:p w:rsidR="00D53E6E" w:rsidRPr="0071315B" w:rsidRDefault="00D53E6E" w:rsidP="009E0EA4">
      <w:pPr>
        <w:spacing w:line="252" w:lineRule="auto"/>
        <w:rPr>
          <w:rFonts w:cs="Arial"/>
          <w:color w:val="000000"/>
        </w:rPr>
      </w:pPr>
    </w:p>
    <w:p w:rsidR="009854C5" w:rsidRPr="0071315B" w:rsidRDefault="00941324" w:rsidP="009E0EA4">
      <w:pPr>
        <w:spacing w:line="252" w:lineRule="auto"/>
        <w:rPr>
          <w:rFonts w:cs="Arial"/>
          <w:color w:val="000000"/>
        </w:rPr>
      </w:pPr>
      <w:r w:rsidRPr="0071315B">
        <w:rPr>
          <w:rFonts w:cs="Arial"/>
          <w:color w:val="000000"/>
        </w:rPr>
        <w:t xml:space="preserve">Los mecanismos </w:t>
      </w:r>
      <w:r w:rsidR="00240E0F">
        <w:rPr>
          <w:rFonts w:cs="Arial"/>
          <w:color w:val="000000"/>
        </w:rPr>
        <w:t xml:space="preserve">de recolección </w:t>
      </w:r>
      <w:r w:rsidRPr="0071315B">
        <w:rPr>
          <w:rFonts w:cs="Arial"/>
          <w:color w:val="000000"/>
        </w:rPr>
        <w:t xml:space="preserve">equivalente </w:t>
      </w:r>
      <w:r w:rsidR="006D0C07" w:rsidRPr="0071315B">
        <w:rPr>
          <w:rFonts w:cs="Arial"/>
          <w:color w:val="000000"/>
        </w:rPr>
        <w:t xml:space="preserve">son </w:t>
      </w:r>
      <w:r w:rsidR="00240E0F">
        <w:rPr>
          <w:rFonts w:cs="Arial"/>
          <w:color w:val="000000"/>
        </w:rPr>
        <w:t>aquellos</w:t>
      </w:r>
      <w:r w:rsidR="00240E0F" w:rsidRPr="0071315B">
        <w:rPr>
          <w:rFonts w:cs="Arial"/>
          <w:color w:val="000000"/>
        </w:rPr>
        <w:t xml:space="preserve"> </w:t>
      </w:r>
      <w:r w:rsidR="006D0C07" w:rsidRPr="0071315B">
        <w:rPr>
          <w:rFonts w:cs="Arial"/>
          <w:color w:val="000000"/>
        </w:rPr>
        <w:t>procesos alternos a la instalación de puntos de recolección, cuya finalidad es recolectar residuos de pilas y/o acumuladores de una manera eficiente y aprovechando recursos existentes, están diseñados de acuerdo a los procesos de comercialización de los productos y de la capacidad logística del  productor, entre los principales ejemplos se puede citar el uso de mensajería certificada, campañas de recolección, convenios interinstitucionales, etc.</w:t>
      </w:r>
    </w:p>
    <w:p w:rsidR="006D0C07" w:rsidRPr="0071315B" w:rsidRDefault="006D0C07" w:rsidP="009E0EA4">
      <w:pPr>
        <w:spacing w:line="252" w:lineRule="auto"/>
        <w:rPr>
          <w:rFonts w:cs="Arial"/>
          <w:color w:val="000000"/>
        </w:rPr>
      </w:pPr>
    </w:p>
    <w:p w:rsidR="006D0C07" w:rsidRPr="0071315B" w:rsidRDefault="006D0C07" w:rsidP="009E0EA4">
      <w:pPr>
        <w:spacing w:line="252" w:lineRule="auto"/>
        <w:rPr>
          <w:rFonts w:cs="Arial"/>
          <w:color w:val="000000"/>
        </w:rPr>
      </w:pPr>
      <w:r w:rsidRPr="0071315B">
        <w:rPr>
          <w:rFonts w:cs="Arial"/>
          <w:color w:val="000000"/>
        </w:rPr>
        <w:t xml:space="preserve">Finalmente, los centros de acopio, son establecimientos diseñados para el acopio temporal de los residuos provenientes de los puntos de recolección y mecanismos </w:t>
      </w:r>
      <w:r w:rsidR="00525898">
        <w:rPr>
          <w:rFonts w:cs="Arial"/>
          <w:color w:val="000000"/>
        </w:rPr>
        <w:t xml:space="preserve">de recolección </w:t>
      </w:r>
      <w:r w:rsidRPr="0071315B">
        <w:rPr>
          <w:rFonts w:cs="Arial"/>
          <w:color w:val="000000"/>
        </w:rPr>
        <w:t xml:space="preserve">equivalente, estos deben cumplir con </w:t>
      </w:r>
      <w:r w:rsidR="00525898">
        <w:rPr>
          <w:rFonts w:cs="Arial"/>
          <w:color w:val="000000"/>
        </w:rPr>
        <w:t xml:space="preserve">las </w:t>
      </w:r>
      <w:r w:rsidRPr="0071315B">
        <w:rPr>
          <w:rFonts w:cs="Arial"/>
          <w:color w:val="000000"/>
        </w:rPr>
        <w:t>especificaciones técnicas</w:t>
      </w:r>
      <w:r w:rsidR="00964426" w:rsidRPr="0071315B">
        <w:rPr>
          <w:rFonts w:cs="Arial"/>
          <w:color w:val="000000"/>
        </w:rPr>
        <w:t xml:space="preserve"> </w:t>
      </w:r>
      <w:r w:rsidR="00525898">
        <w:rPr>
          <w:rFonts w:cs="Arial"/>
          <w:color w:val="000000"/>
        </w:rPr>
        <w:t xml:space="preserve">establecidas en el </w:t>
      </w:r>
      <w:r w:rsidR="00964426" w:rsidRPr="0071315B">
        <w:rPr>
          <w:rFonts w:cs="Arial"/>
          <w:color w:val="000000"/>
        </w:rPr>
        <w:t xml:space="preserve">articulo 11 </w:t>
      </w:r>
      <w:r w:rsidR="00525898">
        <w:rPr>
          <w:rFonts w:cs="Arial"/>
          <w:color w:val="000000"/>
        </w:rPr>
        <w:t xml:space="preserve">de la </w:t>
      </w:r>
      <w:r w:rsidR="00964426" w:rsidRPr="0071315B">
        <w:rPr>
          <w:rFonts w:cs="Arial"/>
          <w:color w:val="000000"/>
        </w:rPr>
        <w:t>Resolución 1297 de 2010</w:t>
      </w:r>
      <w:r w:rsidR="00525898">
        <w:rPr>
          <w:rFonts w:cs="Arial"/>
          <w:color w:val="000000"/>
        </w:rPr>
        <w:t xml:space="preserve">, </w:t>
      </w:r>
      <w:r w:rsidRPr="0071315B">
        <w:rPr>
          <w:rFonts w:cs="Arial"/>
          <w:color w:val="000000"/>
        </w:rPr>
        <w:t xml:space="preserve">y en especial </w:t>
      </w:r>
      <w:r w:rsidR="00525898">
        <w:rPr>
          <w:rFonts w:cs="Arial"/>
          <w:color w:val="000000"/>
        </w:rPr>
        <w:t>su</w:t>
      </w:r>
      <w:r w:rsidR="00525898" w:rsidRPr="0071315B">
        <w:rPr>
          <w:rFonts w:cs="Arial"/>
          <w:color w:val="000000"/>
        </w:rPr>
        <w:t xml:space="preserve"> </w:t>
      </w:r>
      <w:r w:rsidRPr="0071315B">
        <w:rPr>
          <w:rFonts w:cs="Arial"/>
          <w:color w:val="000000"/>
        </w:rPr>
        <w:t>capacidad no debe exceder las 12 toneladas, de lo contrario se considerara como centro de almacenamiento y requiere de licencia ambiental.</w:t>
      </w:r>
    </w:p>
    <w:p w:rsidR="00731D69" w:rsidRPr="0071315B" w:rsidRDefault="00731D69" w:rsidP="009E0EA4">
      <w:pPr>
        <w:spacing w:line="252" w:lineRule="auto"/>
        <w:rPr>
          <w:rFonts w:cs="Arial"/>
          <w:color w:val="000000"/>
        </w:rPr>
      </w:pPr>
    </w:p>
    <w:p w:rsidR="009E0EA4" w:rsidRPr="0071315B" w:rsidRDefault="009E0EA4" w:rsidP="009E0EA4">
      <w:pPr>
        <w:spacing w:line="252" w:lineRule="auto"/>
        <w:rPr>
          <w:rFonts w:cs="Arial"/>
          <w:color w:val="000000"/>
        </w:rPr>
      </w:pPr>
      <w:r w:rsidRPr="0071315B">
        <w:rPr>
          <w:rFonts w:cs="Arial"/>
          <w:color w:val="000000"/>
        </w:rPr>
        <w:t xml:space="preserve">Los </w:t>
      </w:r>
      <w:r w:rsidR="00525898" w:rsidRPr="0071315B">
        <w:rPr>
          <w:rFonts w:cs="Arial"/>
          <w:color w:val="000000"/>
        </w:rPr>
        <w:t>S</w:t>
      </w:r>
      <w:r w:rsidR="00525898">
        <w:rPr>
          <w:rFonts w:cs="Arial"/>
          <w:color w:val="000000"/>
        </w:rPr>
        <w:t>RS</w:t>
      </w:r>
      <w:r w:rsidR="00525898" w:rsidRPr="0071315B">
        <w:rPr>
          <w:rFonts w:cs="Arial"/>
          <w:color w:val="000000"/>
        </w:rPr>
        <w:t xml:space="preserve"> </w:t>
      </w:r>
      <w:r w:rsidRPr="0071315B">
        <w:rPr>
          <w:rFonts w:cs="Arial"/>
          <w:color w:val="000000"/>
        </w:rPr>
        <w:t xml:space="preserve">podrán implementar uno o </w:t>
      </w:r>
      <w:r w:rsidR="00731D69" w:rsidRPr="0071315B">
        <w:rPr>
          <w:rFonts w:cs="Arial"/>
          <w:color w:val="000000"/>
        </w:rPr>
        <w:t>más</w:t>
      </w:r>
      <w:r w:rsidRPr="0071315B">
        <w:rPr>
          <w:rFonts w:cs="Arial"/>
          <w:color w:val="000000"/>
        </w:rPr>
        <w:t xml:space="preserve"> de estos m</w:t>
      </w:r>
      <w:r w:rsidR="00731D69" w:rsidRPr="0071315B">
        <w:rPr>
          <w:rFonts w:cs="Arial"/>
          <w:color w:val="000000"/>
        </w:rPr>
        <w:t xml:space="preserve">ecanismos, dependiendo de la cantidad de residuos a recolectar, </w:t>
      </w:r>
      <w:r w:rsidR="00525898">
        <w:rPr>
          <w:rFonts w:cs="Arial"/>
          <w:color w:val="000000"/>
        </w:rPr>
        <w:t>su</w:t>
      </w:r>
      <w:r w:rsidR="00525898" w:rsidRPr="0071315B">
        <w:rPr>
          <w:rFonts w:cs="Arial"/>
          <w:color w:val="000000"/>
        </w:rPr>
        <w:t xml:space="preserve"> </w:t>
      </w:r>
      <w:r w:rsidR="00731D69" w:rsidRPr="0071315B">
        <w:rPr>
          <w:rFonts w:cs="Arial"/>
          <w:color w:val="000000"/>
        </w:rPr>
        <w:t xml:space="preserve">viabilidad </w:t>
      </w:r>
      <w:r w:rsidR="00525898">
        <w:rPr>
          <w:rFonts w:cs="Arial"/>
          <w:color w:val="000000"/>
        </w:rPr>
        <w:t xml:space="preserve">técnica, </w:t>
      </w:r>
      <w:r w:rsidR="00731D69" w:rsidRPr="0071315B">
        <w:rPr>
          <w:rFonts w:cs="Arial"/>
          <w:color w:val="000000"/>
        </w:rPr>
        <w:t>económica</w:t>
      </w:r>
      <w:r w:rsidR="00525898">
        <w:rPr>
          <w:rFonts w:cs="Arial"/>
          <w:color w:val="000000"/>
        </w:rPr>
        <w:t xml:space="preserve"> y ambiental</w:t>
      </w:r>
      <w:r w:rsidR="00731D69" w:rsidRPr="0071315B">
        <w:rPr>
          <w:rFonts w:cs="Arial"/>
          <w:color w:val="000000"/>
        </w:rPr>
        <w:t xml:space="preserve">, el proceso de recolección, </w:t>
      </w:r>
      <w:r w:rsidR="00A63792" w:rsidRPr="0071315B">
        <w:rPr>
          <w:rFonts w:cs="Arial"/>
          <w:color w:val="000000"/>
        </w:rPr>
        <w:t>entre otras consideraciones a evaluar.</w:t>
      </w:r>
    </w:p>
    <w:p w:rsidR="00731D69" w:rsidRPr="0071315B" w:rsidRDefault="00731D69" w:rsidP="009E0EA4">
      <w:pPr>
        <w:spacing w:line="252" w:lineRule="auto"/>
        <w:rPr>
          <w:rFonts w:cs="Arial"/>
          <w:color w:val="000000"/>
        </w:rPr>
      </w:pPr>
    </w:p>
    <w:p w:rsidR="00731D69" w:rsidRPr="0071315B" w:rsidRDefault="00731D69" w:rsidP="009E0EA4">
      <w:pPr>
        <w:spacing w:line="252" w:lineRule="auto"/>
        <w:rPr>
          <w:rFonts w:cs="Arial"/>
          <w:color w:val="000000"/>
        </w:rPr>
      </w:pPr>
      <w:r w:rsidRPr="0071315B">
        <w:rPr>
          <w:rFonts w:cs="Arial"/>
          <w:color w:val="000000"/>
        </w:rPr>
        <w:t xml:space="preserve">Es necesario presentar una descripción detallada de cada uno de los mecanismos a implementar, que contenga como mínimo los siguientes elementos: </w:t>
      </w:r>
    </w:p>
    <w:p w:rsidR="005A7A54" w:rsidRPr="0071315B" w:rsidRDefault="005A7A54" w:rsidP="005A7A54">
      <w:pPr>
        <w:spacing w:line="252" w:lineRule="auto"/>
        <w:rPr>
          <w:rFonts w:cs="Arial"/>
          <w:color w:val="000000"/>
        </w:rPr>
      </w:pPr>
    </w:p>
    <w:p w:rsidR="005A7A54" w:rsidRPr="0071315B" w:rsidRDefault="005A7A54" w:rsidP="00B67B97">
      <w:pPr>
        <w:pStyle w:val="Prrafodelista"/>
        <w:numPr>
          <w:ilvl w:val="0"/>
          <w:numId w:val="29"/>
        </w:numPr>
        <w:spacing w:line="252" w:lineRule="auto"/>
        <w:rPr>
          <w:rFonts w:cs="Arial"/>
          <w:color w:val="000000"/>
        </w:rPr>
      </w:pPr>
      <w:r w:rsidRPr="0071315B">
        <w:rPr>
          <w:rFonts w:cs="Arial"/>
          <w:color w:val="000000"/>
        </w:rPr>
        <w:t>U</w:t>
      </w:r>
      <w:r w:rsidR="00F510DB" w:rsidRPr="0071315B">
        <w:rPr>
          <w:rFonts w:cs="Arial"/>
          <w:color w:val="000000"/>
        </w:rPr>
        <w:t>bicaci</w:t>
      </w:r>
      <w:r w:rsidRPr="0071315B">
        <w:rPr>
          <w:rFonts w:cs="Arial"/>
          <w:color w:val="000000"/>
        </w:rPr>
        <w:t>ón (si aplica)</w:t>
      </w:r>
    </w:p>
    <w:p w:rsidR="005A7A54" w:rsidRPr="0071315B" w:rsidRDefault="005A7A54" w:rsidP="00B67B97">
      <w:pPr>
        <w:pStyle w:val="Prrafodelista"/>
        <w:numPr>
          <w:ilvl w:val="0"/>
          <w:numId w:val="29"/>
        </w:numPr>
        <w:spacing w:line="252" w:lineRule="auto"/>
        <w:rPr>
          <w:rFonts w:cs="Arial"/>
          <w:color w:val="000000"/>
        </w:rPr>
      </w:pPr>
      <w:r w:rsidRPr="0071315B">
        <w:rPr>
          <w:rFonts w:cs="Arial"/>
          <w:color w:val="000000"/>
        </w:rPr>
        <w:t>Condiciones técnicas</w:t>
      </w:r>
      <w:r w:rsidR="00525898">
        <w:rPr>
          <w:rFonts w:cs="Arial"/>
          <w:color w:val="000000"/>
        </w:rPr>
        <w:t xml:space="preserve"> (que se especifican enseguida)</w:t>
      </w:r>
      <w:r w:rsidRPr="0071315B">
        <w:rPr>
          <w:rFonts w:cs="Arial"/>
          <w:color w:val="000000"/>
        </w:rPr>
        <w:t>.</w:t>
      </w:r>
    </w:p>
    <w:p w:rsidR="005A7A54" w:rsidRPr="0071315B" w:rsidRDefault="005A7A54" w:rsidP="005A7A54">
      <w:pPr>
        <w:pStyle w:val="Prrafodelista"/>
        <w:numPr>
          <w:ilvl w:val="0"/>
          <w:numId w:val="29"/>
        </w:numPr>
        <w:spacing w:line="252" w:lineRule="auto"/>
        <w:rPr>
          <w:rFonts w:cs="Arial"/>
          <w:color w:val="000000"/>
        </w:rPr>
      </w:pPr>
      <w:r w:rsidRPr="0071315B">
        <w:rPr>
          <w:rFonts w:cs="Arial"/>
          <w:color w:val="000000"/>
        </w:rPr>
        <w:t>Condiciones de operación</w:t>
      </w:r>
    </w:p>
    <w:p w:rsidR="005A7A54" w:rsidRPr="0071315B" w:rsidRDefault="005A7A54" w:rsidP="005A7A54">
      <w:pPr>
        <w:pStyle w:val="Prrafodelista"/>
        <w:numPr>
          <w:ilvl w:val="0"/>
          <w:numId w:val="29"/>
        </w:numPr>
        <w:spacing w:line="252" w:lineRule="auto"/>
        <w:rPr>
          <w:rFonts w:cs="Arial"/>
          <w:color w:val="000000"/>
        </w:rPr>
      </w:pPr>
      <w:r w:rsidRPr="0071315B">
        <w:rPr>
          <w:rFonts w:cs="Arial"/>
          <w:color w:val="000000"/>
        </w:rPr>
        <w:t>Medidas de seguridad</w:t>
      </w:r>
      <w:r w:rsidR="00525898">
        <w:rPr>
          <w:rFonts w:cs="Arial"/>
          <w:color w:val="000000"/>
        </w:rPr>
        <w:t xml:space="preserve"> (que se especifican enseguida)</w:t>
      </w:r>
      <w:r w:rsidR="00525898" w:rsidRPr="0071315B">
        <w:rPr>
          <w:rFonts w:cs="Arial"/>
          <w:color w:val="000000"/>
        </w:rPr>
        <w:t>.</w:t>
      </w:r>
    </w:p>
    <w:p w:rsidR="00964426" w:rsidRPr="0071315B" w:rsidRDefault="00964426" w:rsidP="00964426">
      <w:pPr>
        <w:pStyle w:val="Prrafodelista"/>
        <w:spacing w:line="252" w:lineRule="auto"/>
        <w:rPr>
          <w:rFonts w:cs="Arial"/>
          <w:color w:val="000000"/>
        </w:rPr>
      </w:pPr>
    </w:p>
    <w:p w:rsidR="006F5F86" w:rsidRPr="0071315B" w:rsidRDefault="00964426" w:rsidP="00964426">
      <w:pPr>
        <w:spacing w:line="252" w:lineRule="auto"/>
        <w:rPr>
          <w:rFonts w:cs="Arial"/>
          <w:color w:val="000000"/>
        </w:rPr>
      </w:pPr>
      <w:r w:rsidRPr="0071315B">
        <w:rPr>
          <w:rFonts w:cs="Arial"/>
          <w:color w:val="000000"/>
        </w:rPr>
        <w:t xml:space="preserve">Para el caso específico de los puntos de recolección y centros de acopio, las </w:t>
      </w:r>
      <w:r w:rsidRPr="00DE501B">
        <w:rPr>
          <w:rFonts w:cs="Arial"/>
          <w:b/>
          <w:color w:val="000000"/>
        </w:rPr>
        <w:t>condiciones técnicas</w:t>
      </w:r>
      <w:r w:rsidRPr="0071315B">
        <w:rPr>
          <w:rFonts w:cs="Arial"/>
          <w:color w:val="000000"/>
        </w:rPr>
        <w:t xml:space="preserve"> y </w:t>
      </w:r>
      <w:r w:rsidRPr="00DE501B">
        <w:rPr>
          <w:rFonts w:cs="Arial"/>
          <w:b/>
          <w:color w:val="000000"/>
        </w:rPr>
        <w:t>medidas de seguridad</w:t>
      </w:r>
      <w:r w:rsidRPr="0071315B">
        <w:rPr>
          <w:rFonts w:cs="Arial"/>
          <w:color w:val="000000"/>
        </w:rPr>
        <w:t xml:space="preserve"> corresponden principalmente a: </w:t>
      </w:r>
    </w:p>
    <w:p w:rsidR="00964426" w:rsidRPr="0071315B" w:rsidRDefault="00964426" w:rsidP="006F5F86">
      <w:pPr>
        <w:spacing w:line="252" w:lineRule="auto"/>
        <w:ind w:left="720"/>
        <w:rPr>
          <w:rFonts w:cs="Arial"/>
          <w:color w:val="000000"/>
        </w:rPr>
      </w:pPr>
    </w:p>
    <w:p w:rsidR="005A7A54" w:rsidRPr="0071315B" w:rsidRDefault="005A7A54" w:rsidP="00964426">
      <w:pPr>
        <w:numPr>
          <w:ilvl w:val="0"/>
          <w:numId w:val="30"/>
        </w:numPr>
        <w:spacing w:line="252" w:lineRule="auto"/>
        <w:rPr>
          <w:rFonts w:cs="Arial"/>
          <w:color w:val="000000"/>
        </w:rPr>
      </w:pPr>
      <w:r w:rsidRPr="0071315B">
        <w:rPr>
          <w:rFonts w:cs="Arial"/>
          <w:color w:val="000000"/>
        </w:rPr>
        <w:t>Materiales de construcción seleccionados,</w:t>
      </w:r>
    </w:p>
    <w:p w:rsidR="005A7A54" w:rsidRPr="0071315B" w:rsidRDefault="005A7A54" w:rsidP="00964426">
      <w:pPr>
        <w:numPr>
          <w:ilvl w:val="0"/>
          <w:numId w:val="30"/>
        </w:numPr>
        <w:spacing w:line="252" w:lineRule="auto"/>
        <w:rPr>
          <w:rFonts w:cs="Arial"/>
          <w:color w:val="000000"/>
        </w:rPr>
      </w:pPr>
      <w:r w:rsidRPr="0071315B">
        <w:rPr>
          <w:rFonts w:cs="Arial"/>
          <w:color w:val="000000"/>
        </w:rPr>
        <w:t>Dimensiones aproximadas,</w:t>
      </w:r>
    </w:p>
    <w:p w:rsidR="005A7A54" w:rsidRPr="0071315B" w:rsidRDefault="005A7A54" w:rsidP="00964426">
      <w:pPr>
        <w:numPr>
          <w:ilvl w:val="0"/>
          <w:numId w:val="30"/>
        </w:numPr>
        <w:spacing w:line="252" w:lineRule="auto"/>
        <w:rPr>
          <w:rFonts w:cs="Arial"/>
          <w:color w:val="000000"/>
        </w:rPr>
      </w:pPr>
      <w:r w:rsidRPr="0071315B">
        <w:rPr>
          <w:rFonts w:cs="Arial"/>
          <w:color w:val="000000"/>
        </w:rPr>
        <w:t>Capacidad estimada (en unidades  o en peso),</w:t>
      </w:r>
    </w:p>
    <w:p w:rsidR="005A7A54" w:rsidRPr="0071315B" w:rsidRDefault="005A7A54" w:rsidP="00964426">
      <w:pPr>
        <w:numPr>
          <w:ilvl w:val="0"/>
          <w:numId w:val="30"/>
        </w:numPr>
        <w:spacing w:line="252" w:lineRule="auto"/>
        <w:rPr>
          <w:rFonts w:cs="Arial"/>
          <w:color w:val="000000"/>
        </w:rPr>
      </w:pPr>
      <w:r w:rsidRPr="0071315B">
        <w:rPr>
          <w:rFonts w:cs="Arial"/>
          <w:color w:val="000000"/>
        </w:rPr>
        <w:t>Medidas de seguridad frente a la sustracción no autorizada del residuo,</w:t>
      </w:r>
    </w:p>
    <w:p w:rsidR="00731D69" w:rsidRPr="0071315B" w:rsidRDefault="005A7A54" w:rsidP="00964426">
      <w:pPr>
        <w:numPr>
          <w:ilvl w:val="0"/>
          <w:numId w:val="30"/>
        </w:numPr>
        <w:spacing w:line="252" w:lineRule="auto"/>
        <w:rPr>
          <w:rFonts w:cs="Arial"/>
          <w:color w:val="000000"/>
        </w:rPr>
      </w:pPr>
      <w:r w:rsidRPr="0071315B">
        <w:rPr>
          <w:rFonts w:cs="Arial"/>
          <w:color w:val="000000"/>
        </w:rPr>
        <w:t>Medidas de seguridad frente a contingencias (incendio, rotura de residuos y consecuente liberación de sustancias contenidas en el residuo).</w:t>
      </w:r>
    </w:p>
    <w:p w:rsidR="009E0EA4" w:rsidRPr="0071315B" w:rsidRDefault="009E0EA4" w:rsidP="009E0EA4">
      <w:pPr>
        <w:spacing w:line="252" w:lineRule="auto"/>
        <w:rPr>
          <w:rFonts w:cs="Arial"/>
          <w:color w:val="000000"/>
        </w:rPr>
      </w:pPr>
    </w:p>
    <w:p w:rsidR="00FC3C4B" w:rsidRPr="0071315B" w:rsidRDefault="00964426" w:rsidP="00065555">
      <w:pPr>
        <w:spacing w:line="252" w:lineRule="auto"/>
        <w:rPr>
          <w:rFonts w:cs="Arial"/>
          <w:color w:val="000000"/>
        </w:rPr>
      </w:pPr>
      <w:r w:rsidRPr="0071315B">
        <w:rPr>
          <w:rFonts w:cs="Arial"/>
          <w:color w:val="000000"/>
        </w:rPr>
        <w:t>El usuario, podrá allegar</w:t>
      </w:r>
      <w:r w:rsidR="00FC3C4B" w:rsidRPr="0071315B">
        <w:rPr>
          <w:rFonts w:cs="Arial"/>
          <w:color w:val="000000"/>
        </w:rPr>
        <w:t xml:space="preserve"> imágenes fotográficas, planos o esquemas que puedan ilustrar mejor las condiciones </w:t>
      </w:r>
      <w:r w:rsidRPr="0071315B">
        <w:rPr>
          <w:rFonts w:cs="Arial"/>
          <w:color w:val="000000"/>
        </w:rPr>
        <w:t>técnicas descritas.</w:t>
      </w:r>
    </w:p>
    <w:p w:rsidR="00FC3C4B" w:rsidRPr="0071315B" w:rsidRDefault="00FC3C4B" w:rsidP="00065555">
      <w:pPr>
        <w:spacing w:line="252" w:lineRule="auto"/>
        <w:rPr>
          <w:rFonts w:cs="Arial"/>
          <w:color w:val="000000"/>
        </w:rPr>
      </w:pPr>
    </w:p>
    <w:p w:rsidR="00964426" w:rsidRPr="0071315B" w:rsidRDefault="00964426" w:rsidP="00964426">
      <w:pPr>
        <w:pStyle w:val="elementosist"/>
        <w:numPr>
          <w:ilvl w:val="1"/>
          <w:numId w:val="26"/>
        </w:numPr>
        <w:ind w:left="1134" w:hanging="1134"/>
      </w:pPr>
      <w:bookmarkStart w:id="14" w:name="_Toc333477402"/>
      <w:r w:rsidRPr="0071315B">
        <w:t xml:space="preserve">DESCRIPCIÓN DE LAS </w:t>
      </w:r>
      <w:r w:rsidR="00525898">
        <w:t>OPERACIONES</w:t>
      </w:r>
      <w:r w:rsidR="00525898" w:rsidRPr="0071315B">
        <w:t xml:space="preserve"> </w:t>
      </w:r>
      <w:r w:rsidRPr="0071315B">
        <w:t>DE MANEJO A LAS QUE SERÁN SOMETIDOS LOS RESIDUOS.</w:t>
      </w:r>
      <w:bookmarkEnd w:id="14"/>
      <w:r w:rsidRPr="0071315B">
        <w:t xml:space="preserve"> </w:t>
      </w:r>
    </w:p>
    <w:p w:rsidR="00FC3C4B" w:rsidRPr="0071315B" w:rsidRDefault="00FC3C4B" w:rsidP="00065555">
      <w:pPr>
        <w:spacing w:line="252" w:lineRule="auto"/>
        <w:rPr>
          <w:rFonts w:cs="Arial"/>
          <w:color w:val="000000"/>
        </w:rPr>
      </w:pPr>
      <w:r w:rsidRPr="0071315B">
        <w:rPr>
          <w:rFonts w:cs="Arial"/>
          <w:color w:val="000000"/>
        </w:rPr>
        <w:t>Garantizar la gestión adecuada de los residuos</w:t>
      </w:r>
      <w:r w:rsidR="00C0278A" w:rsidRPr="0071315B">
        <w:rPr>
          <w:rFonts w:cs="Arial"/>
          <w:color w:val="000000"/>
        </w:rPr>
        <w:t xml:space="preserve"> </w:t>
      </w:r>
      <w:r w:rsidR="009A0FE1">
        <w:rPr>
          <w:rFonts w:cs="Arial"/>
          <w:color w:val="000000"/>
        </w:rPr>
        <w:t xml:space="preserve">de </w:t>
      </w:r>
      <w:r w:rsidR="00C0278A" w:rsidRPr="0071315B">
        <w:rPr>
          <w:rFonts w:cs="Arial"/>
          <w:color w:val="000000"/>
        </w:rPr>
        <w:t>pilas y/o acumuladores</w:t>
      </w:r>
      <w:r w:rsidRPr="0071315B">
        <w:rPr>
          <w:rFonts w:cs="Arial"/>
          <w:color w:val="000000"/>
        </w:rPr>
        <w:t>, en las actividades de recolección, transporte, almacenamiento, tratamiento, aprovechamiento, valorización y/o disposición final, es una obligación de los productores en el marco de los Sistemas de Recolección Selectiva.</w:t>
      </w:r>
    </w:p>
    <w:p w:rsidR="00FC3C4B" w:rsidRPr="0071315B" w:rsidRDefault="00FC3C4B" w:rsidP="00065555">
      <w:pPr>
        <w:spacing w:line="252" w:lineRule="auto"/>
        <w:rPr>
          <w:rFonts w:cs="Arial"/>
          <w:color w:val="000000"/>
        </w:rPr>
      </w:pPr>
    </w:p>
    <w:p w:rsidR="00FC3C4B" w:rsidRPr="0071315B" w:rsidRDefault="00FC3C4B" w:rsidP="00065555">
      <w:pPr>
        <w:spacing w:line="252" w:lineRule="auto"/>
        <w:rPr>
          <w:rFonts w:cs="Arial"/>
          <w:color w:val="000000"/>
        </w:rPr>
      </w:pPr>
      <w:r w:rsidRPr="0071315B">
        <w:rPr>
          <w:rFonts w:cs="Arial"/>
          <w:color w:val="000000"/>
        </w:rPr>
        <w:t xml:space="preserve">En este particular se requiere que el documento incluya, una vez definida la persona encargada, cuáles son las actividades que las empresas contratadas por el </w:t>
      </w:r>
      <w:r w:rsidR="009A0FE1">
        <w:rPr>
          <w:rFonts w:cs="Arial"/>
          <w:color w:val="000000"/>
        </w:rPr>
        <w:t>SRS</w:t>
      </w:r>
      <w:r w:rsidR="009A0FE1" w:rsidRPr="0071315B">
        <w:rPr>
          <w:rFonts w:cs="Arial"/>
          <w:color w:val="000000"/>
        </w:rPr>
        <w:t xml:space="preserve"> </w:t>
      </w:r>
      <w:r w:rsidRPr="0071315B">
        <w:rPr>
          <w:rFonts w:cs="Arial"/>
          <w:color w:val="000000"/>
        </w:rPr>
        <w:t>desarrollarán con los residuos, verificando que sean coincidentes con aquellas para las cuales se han expedido las licencias, permisos, concesiones y/o autorizaciones de parte de las autoridades ambientales competentes.</w:t>
      </w:r>
    </w:p>
    <w:p w:rsidR="00FC3C4B" w:rsidRDefault="00FC3C4B" w:rsidP="00065555">
      <w:pPr>
        <w:spacing w:line="252" w:lineRule="auto"/>
        <w:rPr>
          <w:rFonts w:cs="Arial"/>
          <w:color w:val="000000"/>
        </w:rPr>
      </w:pPr>
    </w:p>
    <w:p w:rsidR="009A0FE1" w:rsidRDefault="001C110B" w:rsidP="00065555">
      <w:pPr>
        <w:spacing w:line="252" w:lineRule="auto"/>
        <w:rPr>
          <w:rFonts w:cs="Arial"/>
          <w:color w:val="000000"/>
        </w:rPr>
      </w:pPr>
      <w:r>
        <w:rPr>
          <w:rFonts w:cs="Arial"/>
          <w:color w:val="000000"/>
        </w:rPr>
        <w:t>Se recomienda presentar diagramas de flujo o esquemas en los cuales se resuma</w:t>
      </w:r>
      <w:r w:rsidR="009A0FE1">
        <w:rPr>
          <w:rFonts w:cs="Arial"/>
          <w:color w:val="000000"/>
        </w:rPr>
        <w:t>n</w:t>
      </w:r>
      <w:r>
        <w:rPr>
          <w:rFonts w:cs="Arial"/>
          <w:color w:val="000000"/>
        </w:rPr>
        <w:t>, identifique</w:t>
      </w:r>
      <w:r w:rsidR="009A0FE1">
        <w:rPr>
          <w:rFonts w:cs="Arial"/>
          <w:color w:val="000000"/>
        </w:rPr>
        <w:t>n</w:t>
      </w:r>
      <w:r>
        <w:rPr>
          <w:rFonts w:cs="Arial"/>
          <w:color w:val="000000"/>
        </w:rPr>
        <w:t xml:space="preserve"> y describa</w:t>
      </w:r>
      <w:r w:rsidR="009A0FE1">
        <w:rPr>
          <w:rFonts w:cs="Arial"/>
          <w:color w:val="000000"/>
        </w:rPr>
        <w:t>n</w:t>
      </w:r>
      <w:r>
        <w:rPr>
          <w:rFonts w:cs="Arial"/>
          <w:color w:val="000000"/>
        </w:rPr>
        <w:t xml:space="preserve"> claramente </w:t>
      </w:r>
      <w:r w:rsidR="00027D58" w:rsidRPr="00DE501B">
        <w:rPr>
          <w:rFonts w:cs="Arial"/>
          <w:b/>
          <w:color w:val="000000"/>
          <w:u w:val="single"/>
        </w:rPr>
        <w:t>todos</w:t>
      </w:r>
      <w:r w:rsidR="00027D58">
        <w:rPr>
          <w:rFonts w:cs="Arial"/>
          <w:color w:val="000000"/>
        </w:rPr>
        <w:t xml:space="preserve"> </w:t>
      </w:r>
      <w:r>
        <w:rPr>
          <w:rFonts w:cs="Arial"/>
          <w:color w:val="000000"/>
        </w:rPr>
        <w:t>los procesos a los cuales serán sometidos los residuos recolectados</w:t>
      </w:r>
      <w:r w:rsidR="009A0FE1">
        <w:rPr>
          <w:rFonts w:cs="Arial"/>
          <w:color w:val="000000"/>
        </w:rPr>
        <w:t>, incluyendo por lo menos la siguiente información:</w:t>
      </w:r>
    </w:p>
    <w:p w:rsidR="009A0FE1" w:rsidRDefault="009A0FE1" w:rsidP="00065555">
      <w:pPr>
        <w:spacing w:line="252" w:lineRule="auto"/>
        <w:rPr>
          <w:rFonts w:cs="Arial"/>
          <w:color w:val="000000"/>
        </w:rPr>
      </w:pPr>
    </w:p>
    <w:p w:rsidR="009A0FE1" w:rsidRDefault="009A0FE1" w:rsidP="00DE501B">
      <w:pPr>
        <w:pStyle w:val="Prrafodelista"/>
        <w:numPr>
          <w:ilvl w:val="0"/>
          <w:numId w:val="44"/>
        </w:numPr>
        <w:spacing w:line="252" w:lineRule="auto"/>
        <w:rPr>
          <w:rFonts w:cs="Arial"/>
          <w:color w:val="000000"/>
        </w:rPr>
      </w:pPr>
      <w:r>
        <w:rPr>
          <w:rFonts w:cs="Arial"/>
          <w:color w:val="000000"/>
        </w:rPr>
        <w:t>Cómo se llevará a cabo el proceso de recolección de los residuos y con qué frecuencia.</w:t>
      </w:r>
    </w:p>
    <w:p w:rsidR="00027D58" w:rsidRDefault="00027D58" w:rsidP="00DE501B">
      <w:pPr>
        <w:pStyle w:val="Prrafodelista"/>
        <w:numPr>
          <w:ilvl w:val="0"/>
          <w:numId w:val="44"/>
        </w:numPr>
        <w:spacing w:line="252" w:lineRule="auto"/>
        <w:rPr>
          <w:rFonts w:cs="Arial"/>
          <w:color w:val="000000"/>
        </w:rPr>
      </w:pPr>
      <w:r>
        <w:rPr>
          <w:rFonts w:cs="Arial"/>
          <w:color w:val="000000"/>
        </w:rPr>
        <w:t>Para el transporte de los residuos de pilas y/o acumuladores recogidos en el SRS, v</w:t>
      </w:r>
      <w:r w:rsidR="009A0FE1">
        <w:rPr>
          <w:rFonts w:cs="Arial"/>
          <w:color w:val="000000"/>
        </w:rPr>
        <w:t>erificar el cumplimiento de lo establecido en el Decreto 1609 de 2002, o la norma que lo modifique o sustituya, tal como lo señala el artículo décimo segundo de la Resolución 1297 de 2010.</w:t>
      </w:r>
    </w:p>
    <w:p w:rsidR="001C110B" w:rsidRDefault="00027D58" w:rsidP="00DE501B">
      <w:pPr>
        <w:pStyle w:val="Prrafodelista"/>
        <w:numPr>
          <w:ilvl w:val="0"/>
          <w:numId w:val="44"/>
        </w:numPr>
        <w:spacing w:line="252" w:lineRule="auto"/>
        <w:rPr>
          <w:rFonts w:cs="Arial"/>
          <w:color w:val="000000"/>
        </w:rPr>
      </w:pPr>
      <w:r>
        <w:rPr>
          <w:rFonts w:cs="Arial"/>
          <w:color w:val="000000"/>
        </w:rPr>
        <w:t>Identificación de alternativas de almacenamiento, tratamiento, aprovechamiento o valorización, en caso que aplique</w:t>
      </w:r>
    </w:p>
    <w:p w:rsidR="00027D58" w:rsidRPr="00DE501B" w:rsidRDefault="00027D58" w:rsidP="00DE501B">
      <w:pPr>
        <w:pStyle w:val="Prrafodelista"/>
        <w:numPr>
          <w:ilvl w:val="0"/>
          <w:numId w:val="44"/>
        </w:numPr>
        <w:spacing w:line="252" w:lineRule="auto"/>
        <w:rPr>
          <w:rFonts w:cs="Arial"/>
          <w:color w:val="000000"/>
        </w:rPr>
      </w:pPr>
      <w:r>
        <w:rPr>
          <w:rFonts w:cs="Arial"/>
          <w:color w:val="000000"/>
        </w:rPr>
        <w:t>Descripción de las alternativas de disposición final que se llevarán a cabo</w:t>
      </w:r>
    </w:p>
    <w:p w:rsidR="00D46E94" w:rsidRDefault="00D46E94" w:rsidP="00065555">
      <w:pPr>
        <w:spacing w:line="252" w:lineRule="auto"/>
        <w:rPr>
          <w:rFonts w:cs="Arial"/>
          <w:color w:val="000000"/>
        </w:rPr>
      </w:pPr>
    </w:p>
    <w:p w:rsidR="00DE501B" w:rsidRDefault="00DE501B" w:rsidP="00065555">
      <w:pPr>
        <w:spacing w:line="252" w:lineRule="auto"/>
        <w:rPr>
          <w:rFonts w:cs="Arial"/>
          <w:color w:val="000000"/>
        </w:rPr>
      </w:pPr>
    </w:p>
    <w:p w:rsidR="00DE501B" w:rsidRPr="0071315B" w:rsidRDefault="00DE501B" w:rsidP="00065555">
      <w:pPr>
        <w:spacing w:line="252" w:lineRule="auto"/>
        <w:rPr>
          <w:rFonts w:cs="Arial"/>
          <w:color w:val="000000"/>
        </w:rPr>
      </w:pPr>
    </w:p>
    <w:p w:rsidR="006D0E05" w:rsidRPr="0071315B" w:rsidRDefault="00E7291E" w:rsidP="006D0E05">
      <w:pPr>
        <w:pStyle w:val="elementosist"/>
        <w:numPr>
          <w:ilvl w:val="1"/>
          <w:numId w:val="26"/>
        </w:numPr>
        <w:ind w:left="1134" w:hanging="1134"/>
      </w:pPr>
      <w:bookmarkStart w:id="15" w:name="_Toc333477403"/>
      <w:r>
        <w:t xml:space="preserve">CANTIDADES </w:t>
      </w:r>
      <w:r w:rsidR="006D0E05" w:rsidRPr="0071315B">
        <w:t xml:space="preserve"> DE RESIDUOS PREVISTOS A RECOGER.</w:t>
      </w:r>
      <w:bookmarkEnd w:id="15"/>
      <w:r w:rsidR="006D0E05" w:rsidRPr="0071315B">
        <w:t xml:space="preserve"> </w:t>
      </w:r>
    </w:p>
    <w:p w:rsidR="006D0E05" w:rsidRPr="0071315B" w:rsidRDefault="006D0E05" w:rsidP="00065555">
      <w:pPr>
        <w:spacing w:line="252" w:lineRule="auto"/>
        <w:rPr>
          <w:rFonts w:cs="Arial"/>
          <w:b/>
          <w:color w:val="000000"/>
        </w:rPr>
      </w:pPr>
    </w:p>
    <w:p w:rsidR="00FC3C4B" w:rsidRPr="0071315B" w:rsidRDefault="00FC3C4B" w:rsidP="00065555">
      <w:pPr>
        <w:spacing w:line="252" w:lineRule="auto"/>
        <w:rPr>
          <w:rFonts w:cs="Arial"/>
          <w:color w:val="000000"/>
        </w:rPr>
      </w:pPr>
      <w:r w:rsidRPr="0071315B">
        <w:rPr>
          <w:rFonts w:cs="Arial"/>
          <w:color w:val="000000"/>
        </w:rPr>
        <w:t>La meta</w:t>
      </w:r>
      <w:r w:rsidR="006D0E05" w:rsidRPr="0071315B">
        <w:rPr>
          <w:rFonts w:cs="Arial"/>
          <w:color w:val="000000"/>
        </w:rPr>
        <w:t xml:space="preserve"> mínima </w:t>
      </w:r>
      <w:r w:rsidRPr="0071315B">
        <w:rPr>
          <w:rFonts w:cs="Arial"/>
          <w:color w:val="000000"/>
        </w:rPr>
        <w:t xml:space="preserve">de recolección está determinada por los porcentajes señalados en el artículo 10 de las </w:t>
      </w:r>
      <w:r w:rsidR="006D0E05" w:rsidRPr="0071315B">
        <w:rPr>
          <w:rFonts w:cs="Arial"/>
          <w:color w:val="000000"/>
        </w:rPr>
        <w:t>Resolución 1297 de 2010</w:t>
      </w:r>
      <w:r w:rsidRPr="0071315B">
        <w:rPr>
          <w:rFonts w:cs="Arial"/>
          <w:color w:val="000000"/>
        </w:rPr>
        <w:t>, no obstante lo anterior, el Sistema podrá establecer cantidades mayores si así lo considera adecuado.</w:t>
      </w:r>
    </w:p>
    <w:p w:rsidR="00FC3C4B" w:rsidRPr="0071315B" w:rsidRDefault="00FC3C4B" w:rsidP="00065555">
      <w:pPr>
        <w:spacing w:line="252" w:lineRule="auto"/>
        <w:rPr>
          <w:rFonts w:cs="Arial"/>
          <w:color w:val="000000"/>
        </w:rPr>
      </w:pPr>
    </w:p>
    <w:p w:rsidR="00FC3C4B" w:rsidRDefault="00FC3C4B" w:rsidP="00065555">
      <w:pPr>
        <w:spacing w:line="252" w:lineRule="auto"/>
        <w:rPr>
          <w:color w:val="000000"/>
          <w:lang w:eastAsia="es-CO"/>
        </w:rPr>
      </w:pPr>
      <w:r w:rsidRPr="0071315B">
        <w:rPr>
          <w:color w:val="000000"/>
          <w:lang w:eastAsia="es-CO"/>
        </w:rPr>
        <w:t xml:space="preserve">La meta de recolección mínima se calcula sobre la base de cantidad (unidades) vendidas de productos. La cantidad de residuos </w:t>
      </w:r>
      <w:r w:rsidR="00E7291E">
        <w:rPr>
          <w:color w:val="000000"/>
          <w:lang w:eastAsia="es-CO"/>
        </w:rPr>
        <w:t>debe</w:t>
      </w:r>
      <w:r w:rsidRPr="0071315B">
        <w:rPr>
          <w:color w:val="000000"/>
          <w:lang w:eastAsia="es-CO"/>
        </w:rPr>
        <w:t xml:space="preserve"> expresarse en unidades </w:t>
      </w:r>
      <w:r w:rsidR="00E7291E">
        <w:rPr>
          <w:color w:val="000000"/>
          <w:lang w:eastAsia="es-CO"/>
        </w:rPr>
        <w:t>y</w:t>
      </w:r>
      <w:r w:rsidRPr="0071315B">
        <w:rPr>
          <w:color w:val="000000"/>
          <w:lang w:eastAsia="es-CO"/>
        </w:rPr>
        <w:t xml:space="preserve"> peso</w:t>
      </w:r>
      <w:r w:rsidR="00E7291E">
        <w:rPr>
          <w:color w:val="000000"/>
          <w:lang w:eastAsia="es-CO"/>
        </w:rPr>
        <w:t>.</w:t>
      </w:r>
    </w:p>
    <w:p w:rsidR="00D46E94" w:rsidRDefault="00D46E94" w:rsidP="006047F6">
      <w:pPr>
        <w:spacing w:line="252" w:lineRule="auto"/>
        <w:rPr>
          <w:color w:val="000000"/>
          <w:lang w:eastAsia="es-CO"/>
        </w:rPr>
      </w:pPr>
    </w:p>
    <w:p w:rsidR="00D46E94" w:rsidRDefault="00E7291E" w:rsidP="006047F6">
      <w:pPr>
        <w:spacing w:line="252" w:lineRule="auto"/>
        <w:rPr>
          <w:color w:val="000000"/>
          <w:lang w:eastAsia="es-CO"/>
        </w:rPr>
      </w:pPr>
      <w:r>
        <w:rPr>
          <w:color w:val="000000"/>
          <w:lang w:eastAsia="es-CO"/>
        </w:rPr>
        <w:t>Para obtener mayor información sobre el proceso de estimación de la meta mínima de recolección y las proyecciones de las cantidades a recoger anualmente, ver anexo 1.</w:t>
      </w:r>
    </w:p>
    <w:p w:rsidR="00E7291E" w:rsidRPr="0071315B" w:rsidRDefault="00E7291E" w:rsidP="006047F6">
      <w:pPr>
        <w:spacing w:line="252" w:lineRule="auto"/>
        <w:rPr>
          <w:color w:val="000000"/>
          <w:lang w:eastAsia="es-CO"/>
        </w:rPr>
      </w:pPr>
    </w:p>
    <w:p w:rsidR="008D3068" w:rsidRDefault="008D3068" w:rsidP="008D3068">
      <w:pPr>
        <w:pStyle w:val="elementosist"/>
        <w:numPr>
          <w:ilvl w:val="1"/>
          <w:numId w:val="26"/>
        </w:numPr>
        <w:ind w:left="1134" w:hanging="1134"/>
      </w:pPr>
      <w:bookmarkStart w:id="16" w:name="_Toc333477404"/>
      <w:r w:rsidRPr="0071315B">
        <w:t>INSTRUMENTOS DE GESTIÓN PREVISTOS PARA PROMOVER Y LOGRAR LA DEVOLUCIÓN DE LOS RESIDUOS.</w:t>
      </w:r>
      <w:bookmarkEnd w:id="16"/>
      <w:r w:rsidRPr="0071315B">
        <w:t xml:space="preserve"> </w:t>
      </w:r>
    </w:p>
    <w:p w:rsidR="00C677D7" w:rsidRPr="0071315B" w:rsidRDefault="00C677D7" w:rsidP="00C677D7">
      <w:pPr>
        <w:pStyle w:val="elementosist"/>
        <w:numPr>
          <w:ilvl w:val="0"/>
          <w:numId w:val="0"/>
        </w:numPr>
        <w:ind w:left="1134"/>
      </w:pPr>
    </w:p>
    <w:p w:rsidR="00A01CB4" w:rsidRPr="0071315B" w:rsidRDefault="008D3068" w:rsidP="005068F1">
      <w:pPr>
        <w:spacing w:line="252" w:lineRule="auto"/>
        <w:rPr>
          <w:rFonts w:cs="Arial"/>
          <w:color w:val="000000"/>
        </w:rPr>
      </w:pPr>
      <w:r w:rsidRPr="0071315B">
        <w:rPr>
          <w:rFonts w:cs="Arial"/>
          <w:color w:val="000000"/>
        </w:rPr>
        <w:t xml:space="preserve">Los </w:t>
      </w:r>
      <w:r w:rsidR="00A01CB4" w:rsidRPr="0071315B">
        <w:rPr>
          <w:rFonts w:cs="Arial"/>
          <w:color w:val="000000"/>
        </w:rPr>
        <w:t xml:space="preserve"> instrumentos de gestión </w:t>
      </w:r>
      <w:r w:rsidR="00466BC4" w:rsidRPr="0071315B">
        <w:rPr>
          <w:rFonts w:cs="Arial"/>
          <w:color w:val="000000"/>
        </w:rPr>
        <w:t>son las herramientas</w:t>
      </w:r>
      <w:r w:rsidR="00A01CB4" w:rsidRPr="0071315B">
        <w:rPr>
          <w:rFonts w:cs="Arial"/>
          <w:color w:val="000000"/>
        </w:rPr>
        <w:t xml:space="preserve"> que se diseñaran </w:t>
      </w:r>
      <w:r w:rsidR="00466BC4" w:rsidRPr="0071315B">
        <w:rPr>
          <w:rFonts w:cs="Arial"/>
          <w:color w:val="000000"/>
        </w:rPr>
        <w:t xml:space="preserve">y ejecutaran </w:t>
      </w:r>
      <w:r w:rsidR="00A01CB4" w:rsidRPr="0071315B">
        <w:rPr>
          <w:rFonts w:cs="Arial"/>
          <w:color w:val="000000"/>
        </w:rPr>
        <w:t xml:space="preserve">para promover y lograr la devolución de </w:t>
      </w:r>
      <w:r w:rsidR="00466BC4" w:rsidRPr="0071315B">
        <w:rPr>
          <w:rFonts w:cs="Arial"/>
          <w:color w:val="000000"/>
        </w:rPr>
        <w:t xml:space="preserve">residuos de </w:t>
      </w:r>
      <w:r w:rsidR="00A01CB4" w:rsidRPr="0071315B">
        <w:rPr>
          <w:rFonts w:cs="Arial"/>
          <w:color w:val="000000"/>
        </w:rPr>
        <w:t xml:space="preserve">pilas y/o acumuladores por parte del usuario final (consumidor), estas incluyen los factores claves para un buen desempeño del </w:t>
      </w:r>
      <w:r w:rsidR="00B944A5">
        <w:rPr>
          <w:rFonts w:cs="Arial"/>
          <w:color w:val="000000"/>
        </w:rPr>
        <w:t>SRS</w:t>
      </w:r>
      <w:r w:rsidR="00A01CB4" w:rsidRPr="0071315B">
        <w:rPr>
          <w:rFonts w:cs="Arial"/>
          <w:color w:val="000000"/>
        </w:rPr>
        <w:t xml:space="preserve">, como son el </w:t>
      </w:r>
      <w:r w:rsidR="00B944A5">
        <w:rPr>
          <w:rFonts w:cs="Arial"/>
          <w:color w:val="000000"/>
        </w:rPr>
        <w:t xml:space="preserve">técnico, </w:t>
      </w:r>
      <w:r w:rsidR="00A01CB4" w:rsidRPr="0071315B">
        <w:rPr>
          <w:rFonts w:cs="Arial"/>
          <w:color w:val="000000"/>
        </w:rPr>
        <w:t>económico,</w:t>
      </w:r>
      <w:r w:rsidR="00B944A5">
        <w:rPr>
          <w:rFonts w:cs="Arial"/>
          <w:color w:val="000000"/>
        </w:rPr>
        <w:t xml:space="preserve"> ambiental,</w:t>
      </w:r>
      <w:r w:rsidR="00A01CB4" w:rsidRPr="0071315B">
        <w:rPr>
          <w:rFonts w:cs="Arial"/>
          <w:color w:val="000000"/>
        </w:rPr>
        <w:t xml:space="preserve"> social y administrativo, los cuales deben ser integrados para lograr una gestión adecuada.</w:t>
      </w:r>
    </w:p>
    <w:p w:rsidR="00C677D7" w:rsidRPr="0071315B" w:rsidRDefault="00C677D7" w:rsidP="005068F1">
      <w:pPr>
        <w:spacing w:line="252" w:lineRule="auto"/>
        <w:rPr>
          <w:rFonts w:cs="Arial"/>
          <w:color w:val="000000"/>
        </w:rPr>
      </w:pPr>
    </w:p>
    <w:p w:rsidR="00A01CB4" w:rsidRPr="0071315B" w:rsidRDefault="00A01CB4" w:rsidP="005068F1">
      <w:pPr>
        <w:spacing w:line="252" w:lineRule="auto"/>
        <w:rPr>
          <w:rFonts w:cs="Arial"/>
          <w:color w:val="000000"/>
        </w:rPr>
      </w:pPr>
      <w:r w:rsidRPr="0071315B">
        <w:rPr>
          <w:rFonts w:cs="Arial"/>
          <w:color w:val="000000"/>
        </w:rPr>
        <w:t xml:space="preserve">En este </w:t>
      </w:r>
      <w:r w:rsidR="00B944A5">
        <w:rPr>
          <w:rFonts w:cs="Arial"/>
          <w:color w:val="000000"/>
        </w:rPr>
        <w:t>punto</w:t>
      </w:r>
      <w:r w:rsidR="00B944A5" w:rsidRPr="0071315B">
        <w:rPr>
          <w:rFonts w:cs="Arial"/>
          <w:color w:val="000000"/>
        </w:rPr>
        <w:t xml:space="preserve"> </w:t>
      </w:r>
      <w:r w:rsidRPr="0071315B">
        <w:rPr>
          <w:rFonts w:cs="Arial"/>
          <w:color w:val="000000"/>
        </w:rPr>
        <w:t xml:space="preserve">el </w:t>
      </w:r>
      <w:r w:rsidR="00B944A5">
        <w:rPr>
          <w:rFonts w:cs="Arial"/>
          <w:color w:val="000000"/>
        </w:rPr>
        <w:t>SRS</w:t>
      </w:r>
      <w:r w:rsidRPr="0071315B">
        <w:rPr>
          <w:rFonts w:cs="Arial"/>
          <w:color w:val="000000"/>
        </w:rPr>
        <w:t xml:space="preserve">, describe de forma clara y precisa todos los instrumentos de gestión a implementar desde el ámbito </w:t>
      </w:r>
      <w:r w:rsidR="00B944A5">
        <w:rPr>
          <w:rFonts w:cs="Arial"/>
          <w:color w:val="000000"/>
        </w:rPr>
        <w:t xml:space="preserve">técnico, </w:t>
      </w:r>
      <w:r w:rsidRPr="0071315B">
        <w:rPr>
          <w:rFonts w:cs="Arial"/>
          <w:color w:val="000000"/>
        </w:rPr>
        <w:t xml:space="preserve">económico, </w:t>
      </w:r>
      <w:r w:rsidR="00B944A5">
        <w:rPr>
          <w:rFonts w:cs="Arial"/>
          <w:color w:val="000000"/>
        </w:rPr>
        <w:t>ambiental</w:t>
      </w:r>
      <w:r w:rsidR="00534643">
        <w:rPr>
          <w:rFonts w:cs="Arial"/>
          <w:color w:val="000000"/>
        </w:rPr>
        <w:t xml:space="preserve">, </w:t>
      </w:r>
      <w:r w:rsidRPr="0071315B">
        <w:rPr>
          <w:rFonts w:cs="Arial"/>
          <w:color w:val="000000"/>
        </w:rPr>
        <w:t xml:space="preserve">social y administrativo </w:t>
      </w:r>
      <w:r w:rsidR="00466BC4" w:rsidRPr="0071315B">
        <w:rPr>
          <w:rFonts w:cs="Arial"/>
          <w:color w:val="000000"/>
        </w:rPr>
        <w:t>que permitan</w:t>
      </w:r>
      <w:r w:rsidRPr="0071315B">
        <w:rPr>
          <w:rFonts w:cs="Arial"/>
          <w:color w:val="000000"/>
        </w:rPr>
        <w:t xml:space="preserve"> lograr la recolección de los residuos.</w:t>
      </w:r>
    </w:p>
    <w:p w:rsidR="00A01CB4" w:rsidRPr="0071315B" w:rsidRDefault="00A01CB4" w:rsidP="005068F1">
      <w:pPr>
        <w:spacing w:line="252" w:lineRule="auto"/>
        <w:rPr>
          <w:rFonts w:cs="Arial"/>
          <w:color w:val="000000"/>
        </w:rPr>
      </w:pPr>
    </w:p>
    <w:p w:rsidR="00A01CB4" w:rsidRPr="0071315B" w:rsidRDefault="00A01CB4" w:rsidP="005068F1">
      <w:pPr>
        <w:spacing w:line="252" w:lineRule="auto"/>
        <w:rPr>
          <w:rFonts w:cs="Arial"/>
          <w:color w:val="000000"/>
        </w:rPr>
      </w:pPr>
      <w:r w:rsidRPr="0071315B">
        <w:rPr>
          <w:rFonts w:cs="Arial"/>
          <w:color w:val="000000"/>
        </w:rPr>
        <w:t xml:space="preserve">Algunos ejemplos pueden ser el </w:t>
      </w:r>
      <w:r w:rsidR="00466BC4" w:rsidRPr="0071315B">
        <w:rPr>
          <w:rFonts w:cs="Arial"/>
          <w:color w:val="000000"/>
        </w:rPr>
        <w:t xml:space="preserve">uso de </w:t>
      </w:r>
      <w:r w:rsidR="00B944A5">
        <w:rPr>
          <w:rFonts w:cs="Arial"/>
          <w:color w:val="000000"/>
        </w:rPr>
        <w:t>instrumentos</w:t>
      </w:r>
      <w:r w:rsidR="00B944A5" w:rsidRPr="0071315B">
        <w:rPr>
          <w:rFonts w:cs="Arial"/>
          <w:color w:val="000000"/>
        </w:rPr>
        <w:t xml:space="preserve"> </w:t>
      </w:r>
      <w:r w:rsidR="00466BC4" w:rsidRPr="0071315B">
        <w:rPr>
          <w:rFonts w:cs="Arial"/>
          <w:color w:val="000000"/>
        </w:rPr>
        <w:t>económicos (</w:t>
      </w:r>
      <w:r w:rsidR="00B944A5">
        <w:rPr>
          <w:rFonts w:cs="Arial"/>
          <w:color w:val="000000"/>
        </w:rPr>
        <w:t>sistemas de depósito y reembolso</w:t>
      </w:r>
      <w:r w:rsidR="00534643">
        <w:rPr>
          <w:rFonts w:cs="Arial"/>
          <w:color w:val="000000"/>
        </w:rPr>
        <w:t>, descuentos, entre otros</w:t>
      </w:r>
      <w:r w:rsidR="00466BC4" w:rsidRPr="0071315B">
        <w:rPr>
          <w:rFonts w:cs="Arial"/>
          <w:color w:val="000000"/>
        </w:rPr>
        <w:t xml:space="preserve">), </w:t>
      </w:r>
      <w:r w:rsidR="00534643">
        <w:rPr>
          <w:rFonts w:cs="Arial"/>
          <w:color w:val="000000"/>
        </w:rPr>
        <w:t>sistemas de información (</w:t>
      </w:r>
      <w:r w:rsidR="00466BC4" w:rsidRPr="0071315B">
        <w:rPr>
          <w:rFonts w:cs="Arial"/>
          <w:color w:val="000000"/>
        </w:rPr>
        <w:t xml:space="preserve">campañas educativas a las comunidades, el uso de circulares a los clientes, el empleo de publicidad en los productos, </w:t>
      </w:r>
      <w:r w:rsidR="00534643">
        <w:rPr>
          <w:rFonts w:cs="Arial"/>
          <w:color w:val="000000"/>
        </w:rPr>
        <w:t>entre otros)</w:t>
      </w:r>
      <w:r w:rsidR="00466BC4" w:rsidRPr="0071315B">
        <w:rPr>
          <w:rFonts w:cs="Arial"/>
          <w:color w:val="000000"/>
        </w:rPr>
        <w:t>.</w:t>
      </w:r>
    </w:p>
    <w:p w:rsidR="00466BC4" w:rsidRPr="0071315B" w:rsidRDefault="00466BC4" w:rsidP="005068F1">
      <w:pPr>
        <w:spacing w:line="252" w:lineRule="auto"/>
        <w:rPr>
          <w:rFonts w:cs="Arial"/>
          <w:color w:val="000000"/>
        </w:rPr>
      </w:pPr>
    </w:p>
    <w:p w:rsidR="00466BC4" w:rsidRPr="0071315B" w:rsidRDefault="00466BC4" w:rsidP="005068F1">
      <w:pPr>
        <w:spacing w:line="252" w:lineRule="auto"/>
        <w:rPr>
          <w:rFonts w:cs="Arial"/>
          <w:color w:val="000000"/>
        </w:rPr>
      </w:pPr>
      <w:r w:rsidRPr="0071315B">
        <w:rPr>
          <w:rFonts w:cs="Arial"/>
          <w:color w:val="000000"/>
        </w:rPr>
        <w:t>Se precisa que la descripción detallada de los mecanismos de comunicación, se presentará en el siguiente ítem.</w:t>
      </w:r>
    </w:p>
    <w:p w:rsidR="008D3068" w:rsidRPr="0071315B" w:rsidRDefault="008D3068" w:rsidP="005068F1">
      <w:pPr>
        <w:spacing w:line="252" w:lineRule="auto"/>
        <w:rPr>
          <w:color w:val="000000"/>
          <w:lang w:eastAsia="es-CO"/>
        </w:rPr>
      </w:pPr>
    </w:p>
    <w:p w:rsidR="00A01CB4" w:rsidRPr="0071315B" w:rsidRDefault="00A01CB4" w:rsidP="00A01CB4">
      <w:pPr>
        <w:pStyle w:val="vietaelemento"/>
        <w:numPr>
          <w:ilvl w:val="1"/>
          <w:numId w:val="26"/>
        </w:numPr>
        <w:ind w:left="1134" w:hanging="1134"/>
      </w:pPr>
      <w:bookmarkStart w:id="17" w:name="_Toc333477405"/>
      <w:r w:rsidRPr="0071315B">
        <w:t>MECANISMOS DE COMUNICACIÓN CON EL CONSUMIDOR.</w:t>
      </w:r>
      <w:bookmarkEnd w:id="17"/>
    </w:p>
    <w:p w:rsidR="00C1609F" w:rsidRPr="0071315B" w:rsidRDefault="00C1609F" w:rsidP="00C1609F">
      <w:pPr>
        <w:spacing w:line="252" w:lineRule="auto"/>
        <w:rPr>
          <w:color w:val="000000"/>
          <w:lang w:eastAsia="es-CO"/>
        </w:rPr>
      </w:pPr>
    </w:p>
    <w:p w:rsidR="00C1609F" w:rsidRPr="0071315B" w:rsidRDefault="00C1609F" w:rsidP="00C1609F">
      <w:pPr>
        <w:spacing w:line="252" w:lineRule="auto"/>
        <w:rPr>
          <w:color w:val="000000"/>
          <w:lang w:eastAsia="es-CO"/>
        </w:rPr>
      </w:pPr>
      <w:r w:rsidRPr="0071315B">
        <w:rPr>
          <w:color w:val="000000"/>
          <w:lang w:eastAsia="es-CO"/>
        </w:rPr>
        <w:t xml:space="preserve">Si bien estos mecanismos </w:t>
      </w:r>
      <w:r w:rsidR="00534643">
        <w:rPr>
          <w:color w:val="000000"/>
          <w:lang w:eastAsia="es-CO"/>
        </w:rPr>
        <w:t xml:space="preserve">de comunicación </w:t>
      </w:r>
      <w:r w:rsidRPr="0071315B">
        <w:rPr>
          <w:color w:val="000000"/>
          <w:lang w:eastAsia="es-CO"/>
        </w:rPr>
        <w:t xml:space="preserve">hacen parte de los instrumentos de gestión, deberán describirse los detalles operativos que se implementarán en el </w:t>
      </w:r>
      <w:r w:rsidR="00534643">
        <w:rPr>
          <w:color w:val="000000"/>
          <w:lang w:eastAsia="es-CO"/>
        </w:rPr>
        <w:t>SRS</w:t>
      </w:r>
      <w:r w:rsidRPr="0071315B">
        <w:rPr>
          <w:color w:val="000000"/>
          <w:lang w:eastAsia="es-CO"/>
        </w:rPr>
        <w:t>, para lograr una efectiva comunicación con el consumidor.</w:t>
      </w:r>
    </w:p>
    <w:p w:rsidR="00C1609F" w:rsidRPr="0071315B" w:rsidRDefault="00C1609F" w:rsidP="00C1609F">
      <w:pPr>
        <w:spacing w:line="252" w:lineRule="auto"/>
        <w:rPr>
          <w:color w:val="000000"/>
          <w:lang w:eastAsia="es-CO"/>
        </w:rPr>
      </w:pPr>
    </w:p>
    <w:p w:rsidR="00C1609F" w:rsidRPr="0071315B" w:rsidRDefault="00C1609F" w:rsidP="00C1609F">
      <w:pPr>
        <w:spacing w:line="252" w:lineRule="auto"/>
        <w:rPr>
          <w:color w:val="000000"/>
          <w:lang w:eastAsia="es-CO"/>
        </w:rPr>
      </w:pPr>
      <w:r w:rsidRPr="0071315B">
        <w:rPr>
          <w:color w:val="000000"/>
          <w:lang w:eastAsia="es-CO"/>
        </w:rPr>
        <w:t xml:space="preserve">Además de identificar los medios de comunicación que se utilizaran, es preciso describir el tipo de información </w:t>
      </w:r>
      <w:r w:rsidR="00534643">
        <w:rPr>
          <w:color w:val="000000"/>
          <w:lang w:eastAsia="es-CO"/>
        </w:rPr>
        <w:t xml:space="preserve"> a divulgar</w:t>
      </w:r>
      <w:r w:rsidRPr="0071315B">
        <w:rPr>
          <w:color w:val="000000"/>
          <w:lang w:eastAsia="es-CO"/>
        </w:rPr>
        <w:t xml:space="preserve"> y </w:t>
      </w:r>
      <w:r w:rsidR="00534643">
        <w:rPr>
          <w:color w:val="000000"/>
          <w:lang w:eastAsia="es-CO"/>
        </w:rPr>
        <w:t>el objetivo que se busca, lo cual puede facilitarse si se define una estrategia de comunicación del SRS</w:t>
      </w:r>
      <w:r w:rsidRPr="0071315B">
        <w:rPr>
          <w:color w:val="000000"/>
          <w:lang w:eastAsia="es-CO"/>
        </w:rPr>
        <w:t xml:space="preserve">. </w:t>
      </w:r>
    </w:p>
    <w:p w:rsidR="00C1609F" w:rsidRPr="0071315B" w:rsidRDefault="00C1609F" w:rsidP="00C1609F">
      <w:pPr>
        <w:spacing w:line="252" w:lineRule="auto"/>
        <w:rPr>
          <w:color w:val="000000"/>
          <w:lang w:eastAsia="es-CO"/>
        </w:rPr>
      </w:pPr>
    </w:p>
    <w:p w:rsidR="00C1609F" w:rsidRPr="0071315B" w:rsidRDefault="00C1609F" w:rsidP="00C1609F">
      <w:pPr>
        <w:spacing w:line="252" w:lineRule="auto"/>
        <w:rPr>
          <w:color w:val="000000"/>
          <w:lang w:eastAsia="es-CO"/>
        </w:rPr>
      </w:pPr>
      <w:r w:rsidRPr="0071315B">
        <w:rPr>
          <w:color w:val="000000"/>
          <w:lang w:eastAsia="es-CO"/>
        </w:rPr>
        <w:t>Para este ítem se debe presentar como mínimo los siguientes elementos:</w:t>
      </w:r>
    </w:p>
    <w:p w:rsidR="00C1609F" w:rsidRPr="0071315B" w:rsidRDefault="00C1609F" w:rsidP="00C1609F">
      <w:pPr>
        <w:spacing w:line="252" w:lineRule="auto"/>
        <w:ind w:left="720"/>
        <w:rPr>
          <w:color w:val="000000"/>
          <w:lang w:eastAsia="es-CO"/>
        </w:rPr>
      </w:pPr>
    </w:p>
    <w:p w:rsidR="00C1609F" w:rsidRPr="0071315B" w:rsidRDefault="00C1609F" w:rsidP="00C1609F">
      <w:pPr>
        <w:numPr>
          <w:ilvl w:val="0"/>
          <w:numId w:val="32"/>
        </w:numPr>
        <w:spacing w:line="252" w:lineRule="auto"/>
        <w:rPr>
          <w:color w:val="000000"/>
          <w:lang w:eastAsia="es-CO"/>
        </w:rPr>
      </w:pPr>
      <w:r w:rsidRPr="0071315B">
        <w:rPr>
          <w:color w:val="000000"/>
          <w:lang w:eastAsia="es-CO"/>
        </w:rPr>
        <w:t xml:space="preserve">Identificación del medio o medios </w:t>
      </w:r>
      <w:r w:rsidR="00534643">
        <w:rPr>
          <w:color w:val="000000"/>
          <w:lang w:eastAsia="es-CO"/>
        </w:rPr>
        <w:t xml:space="preserve">de difusión </w:t>
      </w:r>
      <w:r w:rsidRPr="0071315B">
        <w:rPr>
          <w:color w:val="000000"/>
          <w:lang w:eastAsia="es-CO"/>
        </w:rPr>
        <w:t xml:space="preserve">que serán usados en el </w:t>
      </w:r>
      <w:r w:rsidR="00534643">
        <w:rPr>
          <w:color w:val="000000"/>
          <w:lang w:eastAsia="es-CO"/>
        </w:rPr>
        <w:t>SRS</w:t>
      </w:r>
      <w:r w:rsidR="00534643" w:rsidRPr="0071315B">
        <w:rPr>
          <w:color w:val="000000"/>
          <w:lang w:eastAsia="es-CO"/>
        </w:rPr>
        <w:t xml:space="preserve"> </w:t>
      </w:r>
      <w:r w:rsidRPr="0071315B">
        <w:rPr>
          <w:color w:val="000000"/>
          <w:lang w:eastAsia="es-CO"/>
        </w:rPr>
        <w:t xml:space="preserve">(prensa impresa o digital, radio, televisión, entre otros), </w:t>
      </w:r>
    </w:p>
    <w:p w:rsidR="00C1609F" w:rsidRPr="0071315B" w:rsidRDefault="00C1609F" w:rsidP="00C1609F">
      <w:pPr>
        <w:numPr>
          <w:ilvl w:val="0"/>
          <w:numId w:val="32"/>
        </w:numPr>
        <w:spacing w:line="252" w:lineRule="auto"/>
        <w:rPr>
          <w:color w:val="000000"/>
          <w:lang w:eastAsia="es-CO"/>
        </w:rPr>
      </w:pPr>
      <w:r w:rsidRPr="0071315B">
        <w:rPr>
          <w:color w:val="000000"/>
          <w:lang w:eastAsia="es-CO"/>
        </w:rPr>
        <w:t>Tipo de población objetivo de la comunicación, es decir, tipo de consumidor o usuario al que van dirigidas (consumo masivo, consumo de altos volúmenes, instituciones educativas, entidades públicas o privadas, entre otros),</w:t>
      </w:r>
    </w:p>
    <w:p w:rsidR="00C1609F" w:rsidRPr="0071315B" w:rsidRDefault="00C1609F" w:rsidP="00C1609F">
      <w:pPr>
        <w:numPr>
          <w:ilvl w:val="0"/>
          <w:numId w:val="32"/>
        </w:numPr>
        <w:spacing w:line="252" w:lineRule="auto"/>
        <w:rPr>
          <w:color w:val="000000"/>
          <w:lang w:eastAsia="es-CO"/>
        </w:rPr>
      </w:pPr>
      <w:r w:rsidRPr="0071315B">
        <w:rPr>
          <w:color w:val="000000"/>
          <w:lang w:eastAsia="es-CO"/>
        </w:rPr>
        <w:t>Objetivos del contenido previsto que será incluido en los mensajes.</w:t>
      </w:r>
    </w:p>
    <w:p w:rsidR="00C1609F" w:rsidRPr="0071315B" w:rsidRDefault="00C1609F" w:rsidP="00C1609F">
      <w:pPr>
        <w:numPr>
          <w:ilvl w:val="0"/>
          <w:numId w:val="32"/>
        </w:numPr>
        <w:spacing w:line="252" w:lineRule="auto"/>
        <w:rPr>
          <w:color w:val="000000"/>
          <w:lang w:eastAsia="es-CO"/>
        </w:rPr>
      </w:pPr>
      <w:r w:rsidRPr="0071315B">
        <w:rPr>
          <w:color w:val="000000"/>
          <w:lang w:eastAsia="es-CO"/>
        </w:rPr>
        <w:t xml:space="preserve">Uso (empleo en campañas, </w:t>
      </w:r>
      <w:r w:rsidR="00534643">
        <w:rPr>
          <w:color w:val="000000"/>
          <w:lang w:eastAsia="es-CO"/>
        </w:rPr>
        <w:t>distintivos</w:t>
      </w:r>
      <w:r w:rsidR="00534643" w:rsidRPr="0071315B">
        <w:rPr>
          <w:color w:val="000000"/>
          <w:lang w:eastAsia="es-CO"/>
        </w:rPr>
        <w:t xml:space="preserve"> </w:t>
      </w:r>
      <w:r w:rsidRPr="0071315B">
        <w:rPr>
          <w:color w:val="000000"/>
          <w:lang w:eastAsia="es-CO"/>
        </w:rPr>
        <w:t>en los productos, volantes, pendones, etc.)</w:t>
      </w:r>
    </w:p>
    <w:p w:rsidR="00C1609F" w:rsidRPr="0071315B" w:rsidRDefault="00C1609F" w:rsidP="00C1609F">
      <w:pPr>
        <w:spacing w:line="252" w:lineRule="auto"/>
        <w:ind w:left="360"/>
        <w:rPr>
          <w:color w:val="000000"/>
          <w:lang w:eastAsia="es-CO"/>
        </w:rPr>
      </w:pPr>
    </w:p>
    <w:p w:rsidR="00C1609F" w:rsidRPr="0071315B" w:rsidRDefault="00C1609F" w:rsidP="00C1609F">
      <w:pPr>
        <w:spacing w:line="252" w:lineRule="auto"/>
        <w:rPr>
          <w:color w:val="000000"/>
          <w:lang w:eastAsia="es-CO"/>
        </w:rPr>
      </w:pPr>
      <w:r w:rsidRPr="0071315B">
        <w:rPr>
          <w:color w:val="000000"/>
          <w:lang w:eastAsia="es-CO"/>
        </w:rPr>
        <w:t>Vale la pena aclarar, que el uso de cualquier imagen institucional, debe ser objeto de consulta y aprobación previa.</w:t>
      </w:r>
    </w:p>
    <w:p w:rsidR="00A01CB4" w:rsidRPr="0071315B" w:rsidRDefault="00A01CB4" w:rsidP="00A01CB4"/>
    <w:p w:rsidR="008D3068" w:rsidRPr="0071315B" w:rsidRDefault="00A14734" w:rsidP="008D3068">
      <w:pPr>
        <w:pStyle w:val="elementosist"/>
        <w:numPr>
          <w:ilvl w:val="1"/>
          <w:numId w:val="26"/>
        </w:numPr>
        <w:ind w:left="1134" w:hanging="1134"/>
      </w:pPr>
      <w:bookmarkStart w:id="18" w:name="_Toc333477406"/>
      <w:r w:rsidRPr="0071315B">
        <w:t>MECANISMOS DE RECOLECCION,</w:t>
      </w:r>
      <w:r w:rsidR="0071315B">
        <w:t xml:space="preserve"> </w:t>
      </w:r>
      <w:r w:rsidRPr="0071315B">
        <w:t>SEGUIMIENTO Y VERIFICACIÓN DE LOS DATOS APORTADOS, VALIDACIÓN DE LOS MISMOS Y SUMINISTRO DE INFORMACIÓN.</w:t>
      </w:r>
      <w:bookmarkEnd w:id="18"/>
    </w:p>
    <w:p w:rsidR="00A14734" w:rsidRPr="0071315B" w:rsidRDefault="00A14734" w:rsidP="005068F1">
      <w:pPr>
        <w:spacing w:line="252" w:lineRule="auto"/>
        <w:rPr>
          <w:color w:val="000000"/>
          <w:lang w:eastAsia="es-CO"/>
        </w:rPr>
      </w:pPr>
    </w:p>
    <w:p w:rsidR="00FC3C4B" w:rsidRPr="0071315B" w:rsidRDefault="00FC3C4B" w:rsidP="005068F1">
      <w:pPr>
        <w:spacing w:line="252" w:lineRule="auto"/>
        <w:rPr>
          <w:color w:val="000000"/>
          <w:lang w:eastAsia="es-CO"/>
        </w:rPr>
      </w:pPr>
      <w:r w:rsidRPr="0071315B">
        <w:rPr>
          <w:color w:val="000000"/>
          <w:lang w:eastAsia="es-CO"/>
        </w:rPr>
        <w:t xml:space="preserve">El seguimiento a la implementación del </w:t>
      </w:r>
      <w:r w:rsidR="00534643">
        <w:rPr>
          <w:color w:val="000000"/>
          <w:lang w:eastAsia="es-CO"/>
        </w:rPr>
        <w:t>SRS</w:t>
      </w:r>
      <w:r w:rsidRPr="0071315B">
        <w:rPr>
          <w:color w:val="000000"/>
          <w:lang w:eastAsia="es-CO"/>
        </w:rPr>
        <w:t xml:space="preserve">, </w:t>
      </w:r>
      <w:r w:rsidR="00A14734" w:rsidRPr="0071315B">
        <w:rPr>
          <w:color w:val="000000"/>
          <w:lang w:eastAsia="es-CO"/>
        </w:rPr>
        <w:t xml:space="preserve">es </w:t>
      </w:r>
      <w:r w:rsidRPr="0071315B">
        <w:rPr>
          <w:color w:val="000000"/>
          <w:lang w:eastAsia="es-CO"/>
        </w:rPr>
        <w:t>la etapa consecuente a la aprobación</w:t>
      </w:r>
      <w:r w:rsidR="00537B67">
        <w:rPr>
          <w:color w:val="000000"/>
          <w:lang w:eastAsia="es-CO"/>
        </w:rPr>
        <w:t xml:space="preserve"> y se constituye en el componente fundamental para velar por su adecuada implementación.</w:t>
      </w:r>
      <w:r w:rsidRPr="0071315B">
        <w:rPr>
          <w:color w:val="000000"/>
          <w:lang w:eastAsia="es-CO"/>
        </w:rPr>
        <w:t xml:space="preserve"> </w:t>
      </w:r>
      <w:r w:rsidR="00537B67">
        <w:rPr>
          <w:color w:val="000000"/>
          <w:lang w:eastAsia="es-CO"/>
        </w:rPr>
        <w:t xml:space="preserve">Debe </w:t>
      </w:r>
      <w:r w:rsidRPr="0071315B">
        <w:rPr>
          <w:color w:val="000000"/>
          <w:lang w:eastAsia="es-CO"/>
        </w:rPr>
        <w:t xml:space="preserve">basarse en una cantidad mínima y óptima de documentos, que registren los movimientos de </w:t>
      </w:r>
      <w:r w:rsidR="00537B67">
        <w:rPr>
          <w:color w:val="000000"/>
          <w:lang w:eastAsia="es-CO"/>
        </w:rPr>
        <w:t xml:space="preserve">los </w:t>
      </w:r>
      <w:r w:rsidRPr="0071315B">
        <w:rPr>
          <w:color w:val="000000"/>
          <w:lang w:eastAsia="es-CO"/>
        </w:rPr>
        <w:t>residuos</w:t>
      </w:r>
      <w:r w:rsidR="00537B67">
        <w:rPr>
          <w:color w:val="000000"/>
          <w:lang w:eastAsia="es-CO"/>
        </w:rPr>
        <w:t xml:space="preserve"> de pilas y/o acumuladores</w:t>
      </w:r>
      <w:r w:rsidR="00A14734" w:rsidRPr="0071315B">
        <w:rPr>
          <w:color w:val="000000"/>
          <w:lang w:eastAsia="es-CO"/>
        </w:rPr>
        <w:t>,</w:t>
      </w:r>
      <w:r w:rsidRPr="0071315B">
        <w:rPr>
          <w:color w:val="000000"/>
          <w:lang w:eastAsia="es-CO"/>
        </w:rPr>
        <w:t xml:space="preserve"> </w:t>
      </w:r>
      <w:r w:rsidR="00A14734" w:rsidRPr="0071315B">
        <w:rPr>
          <w:color w:val="000000"/>
          <w:lang w:eastAsia="es-CO"/>
        </w:rPr>
        <w:t>para</w:t>
      </w:r>
      <w:r w:rsidRPr="0071315B">
        <w:rPr>
          <w:color w:val="000000"/>
          <w:lang w:eastAsia="es-CO"/>
        </w:rPr>
        <w:t xml:space="preserve"> </w:t>
      </w:r>
      <w:r w:rsidR="00A14734" w:rsidRPr="0071315B">
        <w:rPr>
          <w:color w:val="000000"/>
          <w:lang w:eastAsia="es-CO"/>
        </w:rPr>
        <w:t>establecer</w:t>
      </w:r>
      <w:r w:rsidRPr="0071315B">
        <w:rPr>
          <w:color w:val="000000"/>
          <w:lang w:eastAsia="es-CO"/>
        </w:rPr>
        <w:t xml:space="preserve"> con certeza </w:t>
      </w:r>
      <w:r w:rsidR="009E1B22">
        <w:rPr>
          <w:color w:val="000000"/>
          <w:lang w:eastAsia="es-CO"/>
        </w:rPr>
        <w:t xml:space="preserve">su trazabilidad, </w:t>
      </w:r>
      <w:r w:rsidRPr="0071315B">
        <w:rPr>
          <w:color w:val="000000"/>
          <w:lang w:eastAsia="es-CO"/>
        </w:rPr>
        <w:t xml:space="preserve">si el </w:t>
      </w:r>
      <w:r w:rsidR="00534643">
        <w:rPr>
          <w:color w:val="000000"/>
          <w:lang w:eastAsia="es-CO"/>
        </w:rPr>
        <w:t>SRS</w:t>
      </w:r>
      <w:r w:rsidR="00534643" w:rsidRPr="0071315B">
        <w:rPr>
          <w:color w:val="000000"/>
          <w:lang w:eastAsia="es-CO"/>
        </w:rPr>
        <w:t xml:space="preserve"> </w:t>
      </w:r>
      <w:r w:rsidRPr="0071315B">
        <w:rPr>
          <w:color w:val="000000"/>
          <w:lang w:eastAsia="es-CO"/>
        </w:rPr>
        <w:t>logró recolectar tantos residuos como se proyectó inicialmente y</w:t>
      </w:r>
      <w:r w:rsidR="00A14734" w:rsidRPr="0071315B">
        <w:rPr>
          <w:color w:val="000000"/>
          <w:lang w:eastAsia="es-CO"/>
        </w:rPr>
        <w:t xml:space="preserve"> si estos se están gestionando adecuadamente, además de </w:t>
      </w:r>
      <w:r w:rsidR="009E1B22">
        <w:rPr>
          <w:color w:val="000000"/>
          <w:lang w:eastAsia="es-CO"/>
        </w:rPr>
        <w:t>contar</w:t>
      </w:r>
      <w:r w:rsidR="009E1B22" w:rsidRPr="0071315B">
        <w:rPr>
          <w:color w:val="000000"/>
          <w:lang w:eastAsia="es-CO"/>
        </w:rPr>
        <w:t xml:space="preserve"> </w:t>
      </w:r>
      <w:r w:rsidR="00A14734" w:rsidRPr="0071315B">
        <w:rPr>
          <w:color w:val="000000"/>
          <w:lang w:eastAsia="es-CO"/>
        </w:rPr>
        <w:t>con los soportes necesarios para la verificación y validación de la información durante las diferentes etapas de implementación.</w:t>
      </w:r>
    </w:p>
    <w:p w:rsidR="00A14734" w:rsidRPr="0071315B" w:rsidRDefault="00A14734" w:rsidP="005068F1">
      <w:pPr>
        <w:spacing w:line="252" w:lineRule="auto"/>
        <w:rPr>
          <w:color w:val="000000"/>
          <w:lang w:eastAsia="es-CO"/>
        </w:rPr>
      </w:pPr>
    </w:p>
    <w:p w:rsidR="00FC3C4B" w:rsidRPr="0071315B" w:rsidRDefault="00FC3C4B" w:rsidP="005068F1">
      <w:pPr>
        <w:spacing w:line="252" w:lineRule="auto"/>
        <w:rPr>
          <w:color w:val="000000"/>
          <w:lang w:eastAsia="es-CO"/>
        </w:rPr>
      </w:pPr>
      <w:r w:rsidRPr="0071315B">
        <w:rPr>
          <w:color w:val="000000"/>
          <w:lang w:eastAsia="es-CO"/>
        </w:rPr>
        <w:t xml:space="preserve">Los mecanismos de registro de información </w:t>
      </w:r>
      <w:r w:rsidR="00A14734" w:rsidRPr="0071315B">
        <w:rPr>
          <w:color w:val="000000"/>
          <w:lang w:eastAsia="es-CO"/>
        </w:rPr>
        <w:t>usados con mayor frecuencia</w:t>
      </w:r>
      <w:r w:rsidRPr="0071315B">
        <w:rPr>
          <w:color w:val="000000"/>
          <w:lang w:eastAsia="es-CO"/>
        </w:rPr>
        <w:t xml:space="preserve"> son el formato físico (planilla) y el formato electrónico (hojas de cálculo).  Para cualquier caso deberá describirse con suficiente nivel de detalle el procedimiento para implementa</w:t>
      </w:r>
      <w:r w:rsidR="00A14734" w:rsidRPr="0071315B">
        <w:rPr>
          <w:color w:val="000000"/>
          <w:lang w:eastAsia="es-CO"/>
        </w:rPr>
        <w:t xml:space="preserve">ción de estos en el </w:t>
      </w:r>
      <w:r w:rsidRPr="0071315B">
        <w:rPr>
          <w:color w:val="000000"/>
          <w:lang w:eastAsia="es-CO"/>
        </w:rPr>
        <w:t>Sistema. En ese sentido se espera que el documento precise:</w:t>
      </w:r>
    </w:p>
    <w:p w:rsidR="00FC3C4B" w:rsidRPr="0071315B" w:rsidRDefault="00FC3C4B" w:rsidP="005068F1">
      <w:pPr>
        <w:spacing w:line="252" w:lineRule="auto"/>
        <w:rPr>
          <w:color w:val="000000"/>
          <w:lang w:eastAsia="es-CO"/>
        </w:rPr>
      </w:pPr>
    </w:p>
    <w:p w:rsidR="00FC3C4B" w:rsidRPr="0071315B" w:rsidRDefault="00FC3C4B" w:rsidP="00A14734">
      <w:pPr>
        <w:pStyle w:val="Prrafodelista"/>
        <w:numPr>
          <w:ilvl w:val="0"/>
          <w:numId w:val="33"/>
        </w:numPr>
        <w:spacing w:line="252" w:lineRule="auto"/>
        <w:rPr>
          <w:color w:val="000000"/>
          <w:lang w:eastAsia="es-CO"/>
        </w:rPr>
      </w:pPr>
      <w:r w:rsidRPr="0071315B">
        <w:rPr>
          <w:color w:val="000000"/>
          <w:lang w:eastAsia="es-CO"/>
        </w:rPr>
        <w:t>Etapa de la implementación del sistema que incluye registro de información.</w:t>
      </w:r>
    </w:p>
    <w:p w:rsidR="00FC3C4B" w:rsidRPr="0071315B" w:rsidRDefault="00FC3C4B" w:rsidP="00A14734">
      <w:pPr>
        <w:pStyle w:val="Prrafodelista"/>
        <w:numPr>
          <w:ilvl w:val="0"/>
          <w:numId w:val="33"/>
        </w:numPr>
        <w:spacing w:line="252" w:lineRule="auto"/>
        <w:rPr>
          <w:color w:val="000000"/>
          <w:lang w:eastAsia="es-CO"/>
        </w:rPr>
      </w:pPr>
      <w:r w:rsidRPr="0071315B">
        <w:rPr>
          <w:color w:val="000000"/>
          <w:lang w:eastAsia="es-CO"/>
        </w:rPr>
        <w:t>Tipo de documento en la que serán registrados los datos</w:t>
      </w:r>
      <w:r w:rsidR="00A14734" w:rsidRPr="0071315B">
        <w:rPr>
          <w:color w:val="000000"/>
          <w:lang w:eastAsia="es-CO"/>
        </w:rPr>
        <w:t>.</w:t>
      </w:r>
    </w:p>
    <w:p w:rsidR="00A14734" w:rsidRPr="0071315B" w:rsidRDefault="00A14734" w:rsidP="00A14734">
      <w:pPr>
        <w:pStyle w:val="Prrafodelista"/>
        <w:numPr>
          <w:ilvl w:val="0"/>
          <w:numId w:val="33"/>
        </w:numPr>
        <w:spacing w:line="252" w:lineRule="auto"/>
        <w:rPr>
          <w:color w:val="000000"/>
          <w:lang w:eastAsia="es-CO"/>
        </w:rPr>
      </w:pPr>
      <w:r w:rsidRPr="0071315B">
        <w:rPr>
          <w:color w:val="000000"/>
          <w:lang w:eastAsia="es-CO"/>
        </w:rPr>
        <w:t>Contenidos básicos de los registros a implementar.</w:t>
      </w:r>
    </w:p>
    <w:p w:rsidR="00A14734" w:rsidRPr="0071315B" w:rsidRDefault="00FC3C4B" w:rsidP="00A14734">
      <w:pPr>
        <w:pStyle w:val="Prrafodelista"/>
        <w:numPr>
          <w:ilvl w:val="0"/>
          <w:numId w:val="33"/>
        </w:numPr>
        <w:spacing w:line="252" w:lineRule="auto"/>
      </w:pPr>
      <w:r w:rsidRPr="0071315B">
        <w:rPr>
          <w:color w:val="000000"/>
          <w:lang w:eastAsia="es-CO"/>
        </w:rPr>
        <w:t xml:space="preserve">Procedimiento establecido para análisis y verificación de los datos registrados por parte del </w:t>
      </w:r>
      <w:r w:rsidR="009E1B22">
        <w:rPr>
          <w:color w:val="000000"/>
          <w:lang w:eastAsia="es-CO"/>
        </w:rPr>
        <w:t>SRS</w:t>
      </w:r>
      <w:r w:rsidR="00A14734" w:rsidRPr="0071315B">
        <w:rPr>
          <w:color w:val="000000"/>
          <w:lang w:eastAsia="es-CO"/>
        </w:rPr>
        <w:t>.</w:t>
      </w:r>
    </w:p>
    <w:p w:rsidR="00A14734" w:rsidRPr="0071315B" w:rsidRDefault="00A14734" w:rsidP="00A14734">
      <w:pPr>
        <w:spacing w:line="252" w:lineRule="auto"/>
      </w:pPr>
    </w:p>
    <w:p w:rsidR="00A14734" w:rsidRPr="0071315B" w:rsidRDefault="00A14734" w:rsidP="00A14734">
      <w:pPr>
        <w:pStyle w:val="elementosist"/>
        <w:numPr>
          <w:ilvl w:val="1"/>
          <w:numId w:val="26"/>
        </w:numPr>
        <w:ind w:left="1134" w:hanging="1134"/>
      </w:pPr>
      <w:bookmarkStart w:id="19" w:name="_Toc333477407"/>
      <w:r w:rsidRPr="0071315B">
        <w:t>MECANISMOS DE FINANCIACIÓN Y COSTOS DEL SISTEMA.</w:t>
      </w:r>
      <w:bookmarkEnd w:id="19"/>
    </w:p>
    <w:p w:rsidR="0071315B" w:rsidRPr="0071315B" w:rsidRDefault="0071315B" w:rsidP="00D34220">
      <w:pPr>
        <w:spacing w:line="252" w:lineRule="auto"/>
        <w:rPr>
          <w:color w:val="000000"/>
          <w:lang w:eastAsia="es-CO"/>
        </w:rPr>
      </w:pPr>
    </w:p>
    <w:p w:rsidR="0071315B" w:rsidRDefault="00FC3C4B" w:rsidP="0071315B">
      <w:pPr>
        <w:spacing w:line="252" w:lineRule="auto"/>
        <w:rPr>
          <w:color w:val="000000"/>
          <w:lang w:eastAsia="es-CO"/>
        </w:rPr>
      </w:pPr>
      <w:r w:rsidRPr="0071315B">
        <w:rPr>
          <w:color w:val="000000"/>
          <w:lang w:eastAsia="es-CO"/>
        </w:rPr>
        <w:t>Este elemento</w:t>
      </w:r>
      <w:r w:rsidR="0071315B" w:rsidRPr="0071315B">
        <w:rPr>
          <w:color w:val="000000"/>
          <w:lang w:eastAsia="es-CO"/>
        </w:rPr>
        <w:t xml:space="preserve"> corresponde </w:t>
      </w:r>
      <w:r w:rsidR="0071315B">
        <w:rPr>
          <w:color w:val="000000"/>
          <w:lang w:eastAsia="es-CO"/>
        </w:rPr>
        <w:t xml:space="preserve">a una descripción detallada de los costos de implementación y operación del </w:t>
      </w:r>
      <w:r w:rsidR="009E1B22">
        <w:rPr>
          <w:color w:val="000000"/>
          <w:lang w:eastAsia="es-CO"/>
        </w:rPr>
        <w:t>SRS.</w:t>
      </w:r>
      <w:r w:rsidR="0071315B">
        <w:rPr>
          <w:color w:val="000000"/>
          <w:lang w:eastAsia="es-CO"/>
        </w:rPr>
        <w:t xml:space="preserve"> </w:t>
      </w:r>
      <w:r w:rsidR="009E1B22">
        <w:rPr>
          <w:color w:val="000000"/>
          <w:lang w:eastAsia="es-CO"/>
        </w:rPr>
        <w:t>D</w:t>
      </w:r>
      <w:r w:rsidR="0071315B">
        <w:rPr>
          <w:color w:val="000000"/>
          <w:lang w:eastAsia="es-CO"/>
        </w:rPr>
        <w:t>ebe</w:t>
      </w:r>
      <w:r w:rsidR="009E1B22">
        <w:rPr>
          <w:color w:val="000000"/>
          <w:lang w:eastAsia="es-CO"/>
        </w:rPr>
        <w:t>n</w:t>
      </w:r>
      <w:r w:rsidR="0071315B">
        <w:rPr>
          <w:color w:val="000000"/>
          <w:lang w:eastAsia="es-CO"/>
        </w:rPr>
        <w:t xml:space="preserve"> especificar</w:t>
      </w:r>
      <w:r w:rsidR="009E1B22">
        <w:rPr>
          <w:color w:val="000000"/>
          <w:lang w:eastAsia="es-CO"/>
        </w:rPr>
        <w:t>se</w:t>
      </w:r>
      <w:r w:rsidR="0071315B">
        <w:rPr>
          <w:color w:val="000000"/>
          <w:lang w:eastAsia="es-CO"/>
        </w:rPr>
        <w:t xml:space="preserve"> las cantidades y costos por unidad.</w:t>
      </w:r>
    </w:p>
    <w:p w:rsidR="00D46E94" w:rsidRDefault="00D46E94" w:rsidP="0071315B">
      <w:pPr>
        <w:spacing w:line="252" w:lineRule="auto"/>
        <w:rPr>
          <w:color w:val="000000"/>
          <w:lang w:eastAsia="es-CO"/>
        </w:rPr>
      </w:pPr>
    </w:p>
    <w:p w:rsidR="00D46E94" w:rsidRDefault="00D46E94" w:rsidP="0071315B">
      <w:pPr>
        <w:spacing w:line="252" w:lineRule="auto"/>
        <w:rPr>
          <w:color w:val="000000"/>
          <w:lang w:eastAsia="es-CO"/>
        </w:rPr>
      </w:pPr>
      <w:r>
        <w:rPr>
          <w:color w:val="000000"/>
          <w:lang w:eastAsia="es-CO"/>
        </w:rPr>
        <w:t>Es importante señalar que dentro de los costos a considerar debe estar el pago por concepto de evaluación del Sistema ante la ANLA.</w:t>
      </w:r>
    </w:p>
    <w:p w:rsidR="0071315B" w:rsidRPr="0071315B" w:rsidRDefault="00D46E94" w:rsidP="0071315B">
      <w:pPr>
        <w:spacing w:line="252" w:lineRule="auto"/>
        <w:rPr>
          <w:color w:val="000000"/>
          <w:lang w:eastAsia="es-CO"/>
        </w:rPr>
      </w:pPr>
      <w:r>
        <w:rPr>
          <w:color w:val="000000"/>
          <w:lang w:eastAsia="es-CO"/>
        </w:rPr>
        <w:t xml:space="preserve"> </w:t>
      </w:r>
    </w:p>
    <w:p w:rsidR="00FC3C4B" w:rsidRDefault="0071315B" w:rsidP="00832BCC">
      <w:pPr>
        <w:spacing w:line="252" w:lineRule="auto"/>
        <w:rPr>
          <w:color w:val="000000"/>
          <w:lang w:eastAsia="es-CO"/>
        </w:rPr>
      </w:pPr>
      <w:r>
        <w:rPr>
          <w:color w:val="000000"/>
          <w:lang w:eastAsia="es-CO"/>
        </w:rPr>
        <w:t>El Sistema debe indicar los mecanismos que diseñaran para financiar los costos asociados al Sistema,</w:t>
      </w:r>
      <w:r w:rsidR="003C61AA">
        <w:rPr>
          <w:color w:val="000000"/>
          <w:lang w:eastAsia="es-CO"/>
        </w:rPr>
        <w:t xml:space="preserve"> los cuales deben ser asumidos 100% por el productor.</w:t>
      </w:r>
    </w:p>
    <w:p w:rsidR="003C61AA" w:rsidRPr="0071315B" w:rsidRDefault="003C61AA" w:rsidP="00832BCC">
      <w:pPr>
        <w:spacing w:line="252" w:lineRule="auto"/>
        <w:rPr>
          <w:color w:val="000000"/>
          <w:lang w:eastAsia="es-CO"/>
        </w:rPr>
      </w:pPr>
    </w:p>
    <w:p w:rsidR="00106ABA" w:rsidRPr="0071315B" w:rsidRDefault="00106ABA" w:rsidP="00106ABA">
      <w:pPr>
        <w:pStyle w:val="elementosist"/>
        <w:numPr>
          <w:ilvl w:val="1"/>
          <w:numId w:val="26"/>
        </w:numPr>
        <w:ind w:left="1134" w:hanging="1134"/>
      </w:pPr>
      <w:bookmarkStart w:id="20" w:name="_Toc333477408"/>
      <w:r w:rsidRPr="0071315B">
        <w:t>IDENTIFICACIÓN DE SISTEMAS COLECTIVOS MEDIANTE SÍMBOLO O LOGO.</w:t>
      </w:r>
      <w:bookmarkEnd w:id="20"/>
    </w:p>
    <w:p w:rsidR="000B2735" w:rsidRPr="0071315B" w:rsidRDefault="000B2735" w:rsidP="00D34220">
      <w:pPr>
        <w:spacing w:line="252" w:lineRule="auto"/>
        <w:rPr>
          <w:color w:val="000000"/>
          <w:lang w:eastAsia="es-CO"/>
        </w:rPr>
      </w:pPr>
    </w:p>
    <w:p w:rsidR="00FC3C4B" w:rsidRPr="0071315B" w:rsidRDefault="00106ABA" w:rsidP="00D34220">
      <w:pPr>
        <w:spacing w:line="252" w:lineRule="auto"/>
        <w:rPr>
          <w:color w:val="000000"/>
          <w:lang w:eastAsia="es-CO"/>
        </w:rPr>
      </w:pPr>
      <w:r w:rsidRPr="0071315B">
        <w:rPr>
          <w:color w:val="000000"/>
          <w:lang w:eastAsia="es-CO"/>
        </w:rPr>
        <w:t xml:space="preserve">Aplica para </w:t>
      </w:r>
      <w:r w:rsidR="009E1B22">
        <w:rPr>
          <w:color w:val="000000"/>
          <w:lang w:eastAsia="es-CO"/>
        </w:rPr>
        <w:t xml:space="preserve">los SRS </w:t>
      </w:r>
      <w:r w:rsidRPr="0071315B">
        <w:rPr>
          <w:color w:val="000000"/>
          <w:lang w:eastAsia="es-CO"/>
        </w:rPr>
        <w:t>C</w:t>
      </w:r>
      <w:r w:rsidR="00FC3C4B" w:rsidRPr="0071315B">
        <w:rPr>
          <w:color w:val="000000"/>
          <w:lang w:eastAsia="es-CO"/>
        </w:rPr>
        <w:t>olectivos, se verifica</w:t>
      </w:r>
      <w:r w:rsidRPr="0071315B">
        <w:rPr>
          <w:color w:val="000000"/>
          <w:lang w:eastAsia="es-CO"/>
        </w:rPr>
        <w:t>ra</w:t>
      </w:r>
      <w:r w:rsidR="00FC3C4B" w:rsidRPr="0071315B">
        <w:rPr>
          <w:color w:val="000000"/>
          <w:lang w:eastAsia="es-CO"/>
        </w:rPr>
        <w:t xml:space="preserve"> la existencia de una imagen que </w:t>
      </w:r>
      <w:r w:rsidRPr="0071315B">
        <w:rPr>
          <w:color w:val="000000"/>
          <w:lang w:eastAsia="es-CO"/>
        </w:rPr>
        <w:t>identifique</w:t>
      </w:r>
      <w:r w:rsidR="00FC3C4B" w:rsidRPr="0071315B">
        <w:rPr>
          <w:color w:val="000000"/>
          <w:lang w:eastAsia="es-CO"/>
        </w:rPr>
        <w:t xml:space="preserve"> el Sistema. Se debe resaltar que no puede ser usada </w:t>
      </w:r>
      <w:r w:rsidR="0028728A" w:rsidRPr="0071315B">
        <w:rPr>
          <w:color w:val="000000"/>
          <w:lang w:eastAsia="es-CO"/>
        </w:rPr>
        <w:t>imágen</w:t>
      </w:r>
      <w:r w:rsidR="0028728A">
        <w:rPr>
          <w:color w:val="000000"/>
          <w:lang w:eastAsia="es-CO"/>
        </w:rPr>
        <w:t>es</w:t>
      </w:r>
      <w:r w:rsidR="00FC3C4B" w:rsidRPr="0071315B">
        <w:rPr>
          <w:color w:val="000000"/>
          <w:lang w:eastAsia="es-CO"/>
        </w:rPr>
        <w:t xml:space="preserve"> institucional</w:t>
      </w:r>
      <w:r w:rsidR="0028728A">
        <w:rPr>
          <w:color w:val="000000"/>
          <w:lang w:eastAsia="es-CO"/>
        </w:rPr>
        <w:t>es</w:t>
      </w:r>
      <w:r w:rsidR="00FC3C4B" w:rsidRPr="0071315B">
        <w:rPr>
          <w:color w:val="000000"/>
          <w:lang w:eastAsia="es-CO"/>
        </w:rPr>
        <w:t xml:space="preserve"> como parte del logo o símbolo del sistema. </w:t>
      </w:r>
    </w:p>
    <w:p w:rsidR="000520EA" w:rsidRDefault="000520EA">
      <w:pPr>
        <w:spacing w:line="240" w:lineRule="auto"/>
        <w:jc w:val="left"/>
        <w:rPr>
          <w:color w:val="000000"/>
          <w:lang w:eastAsia="es-CO"/>
        </w:rPr>
      </w:pPr>
    </w:p>
    <w:p w:rsidR="0028728A" w:rsidRPr="0071315B" w:rsidRDefault="0028728A" w:rsidP="0028728A">
      <w:pPr>
        <w:pStyle w:val="elementosist"/>
        <w:numPr>
          <w:ilvl w:val="0"/>
          <w:numId w:val="26"/>
        </w:numPr>
        <w:ind w:left="1134" w:hanging="1134"/>
      </w:pPr>
      <w:bookmarkStart w:id="21" w:name="_Toc333477409"/>
      <w:r>
        <w:t>REQUISITOS PARA LA ENTERGA DEL SISTEMA</w:t>
      </w:r>
      <w:r w:rsidRPr="0071315B">
        <w:t>.</w:t>
      </w:r>
      <w:bookmarkEnd w:id="21"/>
    </w:p>
    <w:p w:rsidR="000520EA" w:rsidRDefault="000520EA">
      <w:pPr>
        <w:spacing w:line="240" w:lineRule="auto"/>
        <w:jc w:val="left"/>
        <w:rPr>
          <w:color w:val="000000"/>
          <w:lang w:eastAsia="es-CO"/>
        </w:rPr>
      </w:pPr>
    </w:p>
    <w:p w:rsidR="000520EA" w:rsidRPr="001B4660" w:rsidRDefault="000520EA" w:rsidP="000520EA">
      <w:pPr>
        <w:rPr>
          <w:rFonts w:cs="Arial"/>
        </w:rPr>
      </w:pPr>
      <w:r w:rsidRPr="0080164C">
        <w:rPr>
          <w:rFonts w:cs="Arial"/>
        </w:rPr>
        <w:t>El peticionario debe entregar a</w:t>
      </w:r>
      <w:r w:rsidR="0028728A">
        <w:rPr>
          <w:rFonts w:cs="Arial"/>
        </w:rPr>
        <w:t xml:space="preserve"> la </w:t>
      </w:r>
      <w:r w:rsidR="009E1B22">
        <w:rPr>
          <w:rFonts w:cs="Arial"/>
        </w:rPr>
        <w:t>Subdirección de Instrumentos, Permisos y Trámites Ambientales de la</w:t>
      </w:r>
      <w:r w:rsidRPr="0080164C">
        <w:rPr>
          <w:rFonts w:cs="Arial"/>
        </w:rPr>
        <w:t xml:space="preserve"> </w:t>
      </w:r>
      <w:r w:rsidR="0028728A">
        <w:rPr>
          <w:rFonts w:cs="Arial"/>
        </w:rPr>
        <w:t xml:space="preserve">Autoridad Nacional de Licencias Ambientales – ANLA, en medio físico y magnético </w:t>
      </w:r>
      <w:r w:rsidRPr="001B4660">
        <w:rPr>
          <w:rFonts w:cs="Arial"/>
        </w:rPr>
        <w:t xml:space="preserve">la totalidad del </w:t>
      </w:r>
      <w:r w:rsidR="0028728A">
        <w:rPr>
          <w:rFonts w:cs="Arial"/>
        </w:rPr>
        <w:t>Sistema</w:t>
      </w:r>
      <w:r w:rsidRPr="001B4660">
        <w:rPr>
          <w:rFonts w:cs="Arial"/>
        </w:rPr>
        <w:t>, incluyendo l</w:t>
      </w:r>
      <w:r w:rsidR="0028728A">
        <w:rPr>
          <w:rFonts w:cs="Arial"/>
        </w:rPr>
        <w:t>os anexos y soportes necesarios.</w:t>
      </w:r>
    </w:p>
    <w:p w:rsidR="000520EA" w:rsidRPr="001B4660" w:rsidRDefault="000520EA" w:rsidP="000520EA">
      <w:pPr>
        <w:rPr>
          <w:rFonts w:cs="Arial"/>
        </w:rPr>
      </w:pPr>
    </w:p>
    <w:p w:rsidR="000520EA" w:rsidRPr="001B4660" w:rsidRDefault="000520EA" w:rsidP="000520EA">
      <w:pPr>
        <w:rPr>
          <w:rFonts w:cs="Arial"/>
        </w:rPr>
      </w:pPr>
      <w:r w:rsidRPr="001905F3">
        <w:rPr>
          <w:rFonts w:cs="Arial"/>
        </w:rPr>
        <w:t xml:space="preserve">El </w:t>
      </w:r>
      <w:r w:rsidR="0028728A" w:rsidRPr="0071315B">
        <w:rPr>
          <w:rFonts w:cs="Arial"/>
        </w:rPr>
        <w:t xml:space="preserve">Sistema de Recolección Selectiva y Gestión Ambiental de Residuos de Pilas  y/o Acumuladores  </w:t>
      </w:r>
      <w:r w:rsidRPr="001905F3">
        <w:rPr>
          <w:rFonts w:cs="Arial"/>
        </w:rPr>
        <w:t>deberá presentarse siguiendo el orden contenido en los Términos de Referencia</w:t>
      </w:r>
      <w:r w:rsidR="0028728A">
        <w:rPr>
          <w:rFonts w:cs="Arial"/>
        </w:rPr>
        <w:t>.</w:t>
      </w:r>
      <w:r>
        <w:rPr>
          <w:rFonts w:cs="Arial"/>
        </w:rPr>
        <w:t xml:space="preserve"> </w:t>
      </w:r>
    </w:p>
    <w:p w:rsidR="00FC3C4B" w:rsidRDefault="00FC3C4B">
      <w:pPr>
        <w:spacing w:line="240" w:lineRule="auto"/>
        <w:jc w:val="left"/>
        <w:rPr>
          <w:color w:val="000000"/>
          <w:lang w:eastAsia="es-CO"/>
        </w:rPr>
      </w:pPr>
    </w:p>
    <w:p w:rsidR="00E7291E" w:rsidRDefault="00E7291E">
      <w:pPr>
        <w:spacing w:line="240" w:lineRule="auto"/>
        <w:jc w:val="left"/>
        <w:rPr>
          <w:color w:val="000000"/>
          <w:lang w:eastAsia="es-CO"/>
        </w:rPr>
      </w:pPr>
    </w:p>
    <w:p w:rsidR="00E7291E" w:rsidRDefault="00E7291E">
      <w:pPr>
        <w:spacing w:line="240" w:lineRule="auto"/>
        <w:jc w:val="left"/>
        <w:rPr>
          <w:color w:val="000000"/>
          <w:lang w:eastAsia="es-CO"/>
        </w:rPr>
      </w:pPr>
    </w:p>
    <w:p w:rsidR="00E7291E" w:rsidRDefault="00E7291E">
      <w:pPr>
        <w:spacing w:line="240" w:lineRule="auto"/>
        <w:jc w:val="left"/>
        <w:rPr>
          <w:color w:val="000000"/>
          <w:lang w:eastAsia="es-CO"/>
        </w:rPr>
      </w:pPr>
    </w:p>
    <w:p w:rsidR="009E1B22" w:rsidRDefault="009E1B22">
      <w:pPr>
        <w:spacing w:line="240" w:lineRule="auto"/>
        <w:jc w:val="left"/>
        <w:rPr>
          <w:color w:val="000000"/>
          <w:lang w:eastAsia="es-CO"/>
        </w:rPr>
      </w:pPr>
    </w:p>
    <w:p w:rsidR="009E1B22" w:rsidRDefault="009E1B22">
      <w:pPr>
        <w:spacing w:line="240" w:lineRule="auto"/>
        <w:jc w:val="left"/>
        <w:rPr>
          <w:color w:val="000000"/>
          <w:lang w:eastAsia="es-CO"/>
        </w:rPr>
      </w:pPr>
    </w:p>
    <w:p w:rsidR="009E1B22" w:rsidRDefault="009E1B22">
      <w:pPr>
        <w:spacing w:line="240" w:lineRule="auto"/>
        <w:jc w:val="left"/>
        <w:rPr>
          <w:color w:val="000000"/>
          <w:lang w:eastAsia="es-CO"/>
        </w:rPr>
      </w:pPr>
    </w:p>
    <w:p w:rsidR="009E1B22" w:rsidRDefault="009E1B22">
      <w:pPr>
        <w:spacing w:line="240" w:lineRule="auto"/>
        <w:jc w:val="left"/>
        <w:rPr>
          <w:color w:val="000000"/>
          <w:lang w:eastAsia="es-CO"/>
        </w:rPr>
      </w:pPr>
    </w:p>
    <w:p w:rsidR="009E1B22" w:rsidRDefault="009E1B22">
      <w:pPr>
        <w:spacing w:line="240" w:lineRule="auto"/>
        <w:jc w:val="left"/>
        <w:rPr>
          <w:color w:val="000000"/>
          <w:lang w:eastAsia="es-CO"/>
        </w:rPr>
      </w:pPr>
    </w:p>
    <w:p w:rsidR="009E1B22" w:rsidRDefault="009E1B22">
      <w:pPr>
        <w:spacing w:line="240" w:lineRule="auto"/>
        <w:jc w:val="left"/>
        <w:rPr>
          <w:color w:val="000000"/>
          <w:lang w:eastAsia="es-CO"/>
        </w:rPr>
      </w:pPr>
    </w:p>
    <w:p w:rsidR="009E1B22" w:rsidRDefault="009E1B22">
      <w:pPr>
        <w:spacing w:line="240" w:lineRule="auto"/>
        <w:jc w:val="left"/>
        <w:rPr>
          <w:color w:val="000000"/>
          <w:lang w:eastAsia="es-CO"/>
        </w:rPr>
      </w:pPr>
    </w:p>
    <w:p w:rsidR="009E1B22" w:rsidRDefault="009E1B22">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DE501B" w:rsidRDefault="00DE501B">
      <w:pPr>
        <w:spacing w:line="240" w:lineRule="auto"/>
        <w:jc w:val="left"/>
        <w:rPr>
          <w:color w:val="000000"/>
          <w:lang w:eastAsia="es-CO"/>
        </w:rPr>
      </w:pPr>
    </w:p>
    <w:p w:rsidR="00E7291E" w:rsidRDefault="00E7291E">
      <w:pPr>
        <w:spacing w:line="240" w:lineRule="auto"/>
        <w:jc w:val="left"/>
        <w:rPr>
          <w:color w:val="000000"/>
          <w:lang w:eastAsia="es-CO"/>
        </w:rPr>
      </w:pPr>
    </w:p>
    <w:p w:rsidR="00E7291E" w:rsidRDefault="00E7291E">
      <w:pPr>
        <w:spacing w:line="240" w:lineRule="auto"/>
        <w:jc w:val="left"/>
        <w:rPr>
          <w:color w:val="000000"/>
          <w:lang w:eastAsia="es-CO"/>
        </w:rPr>
      </w:pPr>
    </w:p>
    <w:p w:rsidR="00E7291E" w:rsidRPr="00E7291E" w:rsidRDefault="00E7291E" w:rsidP="00E7291E">
      <w:pPr>
        <w:spacing w:line="240" w:lineRule="auto"/>
        <w:jc w:val="center"/>
        <w:rPr>
          <w:b/>
          <w:color w:val="000000"/>
          <w:lang w:eastAsia="es-CO"/>
        </w:rPr>
      </w:pPr>
      <w:r w:rsidRPr="00E7291E">
        <w:rPr>
          <w:b/>
          <w:color w:val="000000"/>
          <w:lang w:eastAsia="es-CO"/>
        </w:rPr>
        <w:t>ANEXO 1</w:t>
      </w:r>
    </w:p>
    <w:p w:rsidR="00E7291E" w:rsidRDefault="00E7291E">
      <w:pPr>
        <w:spacing w:line="240" w:lineRule="auto"/>
        <w:jc w:val="left"/>
        <w:rPr>
          <w:color w:val="000000"/>
          <w:lang w:eastAsia="es-CO"/>
        </w:rPr>
      </w:pPr>
    </w:p>
    <w:p w:rsidR="00E7291E" w:rsidRDefault="00E7291E" w:rsidP="00E7291E">
      <w:pPr>
        <w:spacing w:line="22" w:lineRule="atLeast"/>
        <w:ind w:left="1728" w:hanging="877"/>
        <w:rPr>
          <w:rFonts w:ascii="Arial" w:hAnsi="Arial" w:cs="Arial"/>
          <w:sz w:val="24"/>
          <w:szCs w:val="24"/>
          <w:lang w:eastAsia="es-ES"/>
        </w:rPr>
      </w:pPr>
    </w:p>
    <w:p w:rsidR="00E7291E" w:rsidRDefault="00E7291E" w:rsidP="00E7291E">
      <w:pPr>
        <w:spacing w:line="22" w:lineRule="atLeast"/>
        <w:ind w:left="1728" w:hanging="877"/>
        <w:rPr>
          <w:rFonts w:ascii="Arial" w:hAnsi="Arial" w:cs="Arial"/>
          <w:sz w:val="24"/>
          <w:szCs w:val="24"/>
          <w:lang w:eastAsia="es-ES"/>
        </w:rPr>
      </w:pPr>
    </w:p>
    <w:p w:rsidR="00E7291E" w:rsidRDefault="00E7291E" w:rsidP="00E7291E">
      <w:pPr>
        <w:jc w:val="center"/>
        <w:rPr>
          <w:rFonts w:eastAsia="Calibri"/>
          <w:b/>
          <w:i/>
        </w:rPr>
      </w:pPr>
      <w:r w:rsidRPr="00916E2E">
        <w:rPr>
          <w:rFonts w:eastAsia="Calibri"/>
          <w:b/>
          <w:i/>
        </w:rPr>
        <w:t>META DE RECOLECCIÓN – RESOLUCIÓN 1297 DE 2010</w:t>
      </w:r>
    </w:p>
    <w:p w:rsidR="00E7291E" w:rsidRDefault="00E7291E" w:rsidP="00E7291E">
      <w:pPr>
        <w:jc w:val="center"/>
        <w:rPr>
          <w:rFonts w:eastAsia="Calibri"/>
          <w:b/>
          <w:i/>
        </w:rPr>
      </w:pPr>
    </w:p>
    <w:p w:rsidR="00E7291E" w:rsidRPr="00916E2E" w:rsidRDefault="00E7291E" w:rsidP="00E7291E">
      <w:pPr>
        <w:jc w:val="center"/>
        <w:rPr>
          <w:rFonts w:eastAsia="Calibri"/>
          <w:b/>
          <w:i/>
        </w:rPr>
      </w:pPr>
    </w:p>
    <w:p w:rsidR="00E7291E" w:rsidRPr="00916E2E" w:rsidRDefault="00E7291E" w:rsidP="00E7291E">
      <w:pPr>
        <w:numPr>
          <w:ilvl w:val="0"/>
          <w:numId w:val="41"/>
        </w:numPr>
        <w:spacing w:after="200" w:line="276" w:lineRule="auto"/>
        <w:ind w:left="426" w:hanging="426"/>
        <w:contextualSpacing/>
        <w:jc w:val="left"/>
        <w:rPr>
          <w:rFonts w:eastAsia="Calibri"/>
          <w:b/>
          <w:i/>
        </w:rPr>
      </w:pPr>
      <w:r w:rsidRPr="00916E2E">
        <w:rPr>
          <w:rFonts w:eastAsia="Calibri"/>
          <w:b/>
          <w:i/>
        </w:rPr>
        <w:t>Elementos solicitados en el Sistema de Recolección Selectiva de acuerdo a lo establecido en la Resolución 1297 de 2010.</w:t>
      </w:r>
    </w:p>
    <w:p w:rsidR="00E7291E" w:rsidRPr="00916E2E" w:rsidRDefault="00E7291E" w:rsidP="00E7291E">
      <w:pPr>
        <w:ind w:left="426"/>
        <w:contextualSpacing/>
        <w:rPr>
          <w:rFonts w:eastAsia="Calibri"/>
          <w:i/>
        </w:rPr>
      </w:pPr>
    </w:p>
    <w:p w:rsidR="00E7291E" w:rsidRPr="00916E2E" w:rsidRDefault="00E7291E" w:rsidP="00E7291E">
      <w:pPr>
        <w:numPr>
          <w:ilvl w:val="0"/>
          <w:numId w:val="39"/>
        </w:numPr>
        <w:spacing w:after="200" w:line="276" w:lineRule="auto"/>
        <w:ind w:left="426" w:hanging="426"/>
        <w:contextualSpacing/>
        <w:jc w:val="left"/>
        <w:rPr>
          <w:rFonts w:eastAsia="Calibri"/>
          <w:i/>
        </w:rPr>
      </w:pPr>
      <w:r w:rsidRPr="00916E2E">
        <w:rPr>
          <w:rFonts w:eastAsia="Calibri"/>
          <w:i/>
        </w:rPr>
        <w:t>Clasificación de pilas y/o acumuladores por tipo.</w:t>
      </w:r>
    </w:p>
    <w:p w:rsidR="00E7291E" w:rsidRPr="00916E2E" w:rsidRDefault="00E7291E" w:rsidP="00E7291E">
      <w:pPr>
        <w:ind w:left="426"/>
        <w:contextualSpacing/>
        <w:rPr>
          <w:rFonts w:eastAsia="Calibri"/>
          <w:i/>
        </w:rPr>
      </w:pPr>
    </w:p>
    <w:p w:rsidR="00E7291E" w:rsidRPr="00916E2E" w:rsidRDefault="00E7291E" w:rsidP="00E7291E">
      <w:pPr>
        <w:ind w:left="426"/>
        <w:contextualSpacing/>
        <w:rPr>
          <w:rFonts w:eastAsia="Calibri"/>
          <w:i/>
        </w:rPr>
      </w:pPr>
      <w:r w:rsidRPr="00916E2E">
        <w:rPr>
          <w:rFonts w:eastAsia="Calibri"/>
          <w:i/>
        </w:rPr>
        <w:t>En el artículo  segundo, se establecen los siguientes tipos de pilas:</w:t>
      </w:r>
    </w:p>
    <w:p w:rsidR="00E7291E" w:rsidRPr="00916E2E" w:rsidRDefault="00E7291E" w:rsidP="00E7291E">
      <w:pPr>
        <w:ind w:left="426"/>
        <w:contextualSpacing/>
        <w:rPr>
          <w:rFonts w:eastAsia="Calibri"/>
          <w:i/>
        </w:rPr>
      </w:pPr>
    </w:p>
    <w:p w:rsidR="00E7291E" w:rsidRPr="00916E2E" w:rsidRDefault="00E7291E" w:rsidP="00E7291E">
      <w:pPr>
        <w:numPr>
          <w:ilvl w:val="1"/>
          <w:numId w:val="39"/>
        </w:numPr>
        <w:spacing w:after="200" w:line="276" w:lineRule="auto"/>
        <w:ind w:left="993" w:hanging="567"/>
        <w:contextualSpacing/>
        <w:jc w:val="left"/>
        <w:rPr>
          <w:rFonts w:eastAsia="Calibri"/>
          <w:i/>
        </w:rPr>
      </w:pPr>
      <w:r w:rsidRPr="00916E2E">
        <w:rPr>
          <w:rFonts w:eastAsia="Calibri"/>
          <w:i/>
        </w:rPr>
        <w:t>Pilas y/o Baterías clasificadas en la partida arancelaria 8506  (que se compone de 23 subpartidas).</w:t>
      </w:r>
    </w:p>
    <w:p w:rsidR="00E7291E" w:rsidRPr="00916E2E" w:rsidRDefault="00E7291E" w:rsidP="00E7291E">
      <w:pPr>
        <w:numPr>
          <w:ilvl w:val="1"/>
          <w:numId w:val="39"/>
        </w:numPr>
        <w:spacing w:after="200" w:line="276" w:lineRule="auto"/>
        <w:ind w:left="993" w:hanging="567"/>
        <w:contextualSpacing/>
        <w:jc w:val="left"/>
        <w:rPr>
          <w:rFonts w:eastAsia="Calibri"/>
          <w:i/>
        </w:rPr>
      </w:pPr>
      <w:r w:rsidRPr="00916E2E">
        <w:rPr>
          <w:rFonts w:eastAsia="Calibri"/>
          <w:i/>
        </w:rPr>
        <w:t xml:space="preserve">Acumuladores eléctricos secundarios clasificados mediante las siguientes subpartidas arancelarias: </w:t>
      </w:r>
    </w:p>
    <w:p w:rsidR="00E7291E" w:rsidRPr="00916E2E" w:rsidRDefault="00E7291E" w:rsidP="00E7291E">
      <w:pPr>
        <w:ind w:left="993"/>
        <w:contextualSpacing/>
        <w:rPr>
          <w:rFonts w:eastAsia="Calibri"/>
          <w:i/>
        </w:rPr>
      </w:pPr>
    </w:p>
    <w:p w:rsidR="00E7291E" w:rsidRPr="00916E2E" w:rsidRDefault="00E7291E" w:rsidP="00E7291E">
      <w:pPr>
        <w:numPr>
          <w:ilvl w:val="1"/>
          <w:numId w:val="40"/>
        </w:numPr>
        <w:spacing w:after="200" w:line="276" w:lineRule="auto"/>
        <w:ind w:hanging="567"/>
        <w:contextualSpacing/>
        <w:jc w:val="left"/>
        <w:rPr>
          <w:rFonts w:eastAsia="Calibri"/>
          <w:i/>
        </w:rPr>
      </w:pPr>
      <w:r w:rsidRPr="00916E2E">
        <w:rPr>
          <w:rFonts w:eastAsia="Calibri"/>
          <w:i/>
        </w:rPr>
        <w:t>8507300000 -  Acumuladores eléctricos de Níquel-Cadmio.</w:t>
      </w:r>
    </w:p>
    <w:p w:rsidR="00E7291E" w:rsidRPr="00916E2E" w:rsidRDefault="00E7291E" w:rsidP="00E7291E">
      <w:pPr>
        <w:numPr>
          <w:ilvl w:val="1"/>
          <w:numId w:val="40"/>
        </w:numPr>
        <w:spacing w:after="200" w:line="276" w:lineRule="auto"/>
        <w:ind w:hanging="567"/>
        <w:contextualSpacing/>
        <w:jc w:val="left"/>
        <w:rPr>
          <w:rFonts w:eastAsia="Calibri"/>
          <w:i/>
        </w:rPr>
      </w:pPr>
      <w:r w:rsidRPr="00916E2E">
        <w:rPr>
          <w:rFonts w:eastAsia="Calibri"/>
          <w:i/>
        </w:rPr>
        <w:t>8507400000 -  Acumuladores eléctricos de Níquel-Hierro.</w:t>
      </w:r>
    </w:p>
    <w:p w:rsidR="00E7291E" w:rsidRPr="00916E2E" w:rsidRDefault="00E7291E" w:rsidP="00E7291E">
      <w:pPr>
        <w:numPr>
          <w:ilvl w:val="1"/>
          <w:numId w:val="40"/>
        </w:numPr>
        <w:spacing w:after="200" w:line="276" w:lineRule="auto"/>
        <w:ind w:hanging="567"/>
        <w:contextualSpacing/>
        <w:jc w:val="left"/>
        <w:rPr>
          <w:rFonts w:eastAsia="Calibri"/>
          <w:i/>
        </w:rPr>
      </w:pPr>
      <w:r w:rsidRPr="00916E2E">
        <w:rPr>
          <w:rFonts w:eastAsia="Calibri"/>
          <w:i/>
        </w:rPr>
        <w:t>8507800010 (actualmente  8507600000) - Acumuladores eléctricos de Ión – Litio.</w:t>
      </w:r>
    </w:p>
    <w:p w:rsidR="00E7291E" w:rsidRPr="00916E2E" w:rsidRDefault="00E7291E" w:rsidP="00E7291E">
      <w:pPr>
        <w:numPr>
          <w:ilvl w:val="1"/>
          <w:numId w:val="40"/>
        </w:numPr>
        <w:spacing w:after="200" w:line="276" w:lineRule="auto"/>
        <w:ind w:hanging="567"/>
        <w:contextualSpacing/>
        <w:jc w:val="left"/>
        <w:rPr>
          <w:rFonts w:eastAsia="Calibri"/>
          <w:i/>
        </w:rPr>
      </w:pPr>
      <w:r w:rsidRPr="00916E2E">
        <w:rPr>
          <w:rFonts w:eastAsia="Calibri"/>
          <w:i/>
        </w:rPr>
        <w:t>8507800020 (actualmente  8507500000) - Acumuladores eléctricos de Níquel  metal Hidruro.</w:t>
      </w:r>
    </w:p>
    <w:p w:rsidR="00E7291E" w:rsidRPr="00916E2E" w:rsidRDefault="00E7291E" w:rsidP="00E7291E">
      <w:pPr>
        <w:numPr>
          <w:ilvl w:val="1"/>
          <w:numId w:val="40"/>
        </w:numPr>
        <w:spacing w:after="200" w:line="276" w:lineRule="auto"/>
        <w:ind w:hanging="567"/>
        <w:contextualSpacing/>
        <w:jc w:val="left"/>
        <w:rPr>
          <w:rFonts w:eastAsia="Calibri"/>
          <w:i/>
        </w:rPr>
      </w:pPr>
      <w:r w:rsidRPr="00916E2E">
        <w:rPr>
          <w:rFonts w:eastAsia="Calibri"/>
          <w:i/>
        </w:rPr>
        <w:t>8507800090 (actualmente  8507800000) - Los demás acumuladores eléctricos.</w:t>
      </w:r>
    </w:p>
    <w:p w:rsidR="00E7291E" w:rsidRPr="00916E2E" w:rsidRDefault="00E7291E" w:rsidP="00E7291E">
      <w:pPr>
        <w:ind w:left="1778"/>
        <w:contextualSpacing/>
        <w:rPr>
          <w:rFonts w:eastAsia="Calibri"/>
          <w:i/>
        </w:rPr>
      </w:pPr>
    </w:p>
    <w:p w:rsidR="00E7291E" w:rsidRPr="00916E2E" w:rsidRDefault="00E7291E" w:rsidP="00E7291E">
      <w:pPr>
        <w:ind w:left="426"/>
        <w:contextualSpacing/>
        <w:rPr>
          <w:rFonts w:eastAsia="Calibri"/>
          <w:i/>
        </w:rPr>
      </w:pPr>
      <w:r w:rsidRPr="00916E2E">
        <w:rPr>
          <w:rFonts w:eastAsia="Calibri"/>
          <w:i/>
        </w:rPr>
        <w:t>El arancel de Aduanas se estableció mediante el Decreto 4589 del 2006, expedido por el Ministerio de Comercio, Industria y Turismo, el cual  fue modificado por  el Decreto 4927 del 2011, estableciéndose los cambios de nomenclatura antes señalados.</w:t>
      </w:r>
    </w:p>
    <w:p w:rsidR="00E7291E" w:rsidRPr="00916E2E" w:rsidRDefault="00E7291E" w:rsidP="00E7291E">
      <w:pPr>
        <w:ind w:left="993"/>
        <w:contextualSpacing/>
        <w:rPr>
          <w:rFonts w:eastAsia="Calibri"/>
          <w:i/>
        </w:rPr>
      </w:pPr>
    </w:p>
    <w:p w:rsidR="00E7291E" w:rsidRPr="00916E2E" w:rsidRDefault="00E7291E" w:rsidP="00E7291E">
      <w:pPr>
        <w:numPr>
          <w:ilvl w:val="0"/>
          <w:numId w:val="40"/>
        </w:numPr>
        <w:spacing w:after="200" w:line="276" w:lineRule="auto"/>
        <w:contextualSpacing/>
        <w:jc w:val="left"/>
        <w:rPr>
          <w:rFonts w:eastAsia="Calibri"/>
          <w:i/>
        </w:rPr>
      </w:pPr>
      <w:r w:rsidRPr="00916E2E">
        <w:rPr>
          <w:rFonts w:eastAsia="Calibri"/>
          <w:i/>
        </w:rPr>
        <w:t>Información específica solicitada en el Sistema, de acuerdo con el literal c) del artículo séptimo.</w:t>
      </w:r>
    </w:p>
    <w:p w:rsidR="00E7291E" w:rsidRPr="00916E2E" w:rsidRDefault="00E7291E" w:rsidP="00E7291E">
      <w:pPr>
        <w:ind w:left="720"/>
        <w:contextualSpacing/>
        <w:rPr>
          <w:rFonts w:eastAsia="Calibri"/>
          <w:i/>
        </w:rPr>
      </w:pPr>
    </w:p>
    <w:p w:rsidR="00E7291E" w:rsidRDefault="00E7291E" w:rsidP="00E7291E">
      <w:pPr>
        <w:numPr>
          <w:ilvl w:val="0"/>
          <w:numId w:val="38"/>
        </w:numPr>
        <w:spacing w:after="200" w:line="276" w:lineRule="auto"/>
        <w:contextualSpacing/>
        <w:jc w:val="left"/>
        <w:rPr>
          <w:rFonts w:eastAsia="Calibri"/>
          <w:i/>
        </w:rPr>
      </w:pPr>
      <w:r w:rsidRPr="00916E2E">
        <w:rPr>
          <w:rFonts w:eastAsia="Calibri"/>
          <w:i/>
        </w:rPr>
        <w:t>Cantidades de pilas y/o acumuladores puestas en el mercado.</w:t>
      </w:r>
    </w:p>
    <w:p w:rsidR="00E7291E" w:rsidRPr="00916E2E" w:rsidRDefault="00E7291E" w:rsidP="00E7291E">
      <w:pPr>
        <w:ind w:left="1440"/>
        <w:contextualSpacing/>
        <w:rPr>
          <w:rFonts w:eastAsia="Calibri"/>
          <w:i/>
        </w:rPr>
      </w:pPr>
    </w:p>
    <w:tbl>
      <w:tblPr>
        <w:tblStyle w:val="Tablaconcuadrcula1"/>
        <w:tblW w:w="0" w:type="auto"/>
        <w:tblInd w:w="720" w:type="dxa"/>
        <w:tblLook w:val="04A0" w:firstRow="1" w:lastRow="0" w:firstColumn="1" w:lastColumn="0" w:noHBand="0" w:noVBand="1"/>
      </w:tblPr>
      <w:tblGrid>
        <w:gridCol w:w="3477"/>
        <w:gridCol w:w="979"/>
        <w:gridCol w:w="628"/>
        <w:gridCol w:w="979"/>
        <w:gridCol w:w="628"/>
      </w:tblGrid>
      <w:tr w:rsidR="00E7291E" w:rsidRPr="00916E2E" w:rsidTr="00E7291E">
        <w:trPr>
          <w:tblHeader/>
        </w:trPr>
        <w:tc>
          <w:tcPr>
            <w:tcW w:w="0" w:type="auto"/>
            <w:vMerge w:val="restart"/>
            <w:vAlign w:val="center"/>
          </w:tcPr>
          <w:p w:rsidR="00E7291E" w:rsidRPr="00916E2E" w:rsidRDefault="00E7291E" w:rsidP="00E7291E">
            <w:pPr>
              <w:contextualSpacing/>
              <w:jc w:val="center"/>
              <w:rPr>
                <w:rFonts w:eastAsia="Calibri" w:cs="Times New Roman"/>
                <w:i/>
              </w:rPr>
            </w:pPr>
            <w:r w:rsidRPr="00916E2E">
              <w:rPr>
                <w:rFonts w:eastAsia="Calibri" w:cs="Times New Roman"/>
                <w:i/>
              </w:rPr>
              <w:t>Tipo (partida – subpartida)</w:t>
            </w:r>
          </w:p>
        </w:tc>
        <w:tc>
          <w:tcPr>
            <w:tcW w:w="0" w:type="auto"/>
            <w:gridSpan w:val="2"/>
            <w:vAlign w:val="center"/>
          </w:tcPr>
          <w:p w:rsidR="00E7291E" w:rsidRPr="00916E2E" w:rsidRDefault="00E7291E" w:rsidP="00E7291E">
            <w:pPr>
              <w:contextualSpacing/>
              <w:jc w:val="center"/>
              <w:rPr>
                <w:rFonts w:eastAsia="Calibri" w:cs="Times New Roman"/>
                <w:i/>
                <w:vertAlign w:val="subscript"/>
              </w:rPr>
            </w:pPr>
            <w:r w:rsidRPr="00916E2E">
              <w:rPr>
                <w:rFonts w:eastAsia="Calibri" w:cs="Times New Roman"/>
                <w:i/>
              </w:rPr>
              <w:t>X</w:t>
            </w:r>
            <w:r w:rsidRPr="00916E2E">
              <w:rPr>
                <w:rFonts w:eastAsia="Calibri" w:cs="Times New Roman"/>
                <w:i/>
                <w:vertAlign w:val="subscript"/>
              </w:rPr>
              <w:t>1</w:t>
            </w:r>
          </w:p>
        </w:tc>
        <w:tc>
          <w:tcPr>
            <w:tcW w:w="0" w:type="auto"/>
            <w:gridSpan w:val="2"/>
            <w:vAlign w:val="center"/>
          </w:tcPr>
          <w:p w:rsidR="00E7291E" w:rsidRPr="00916E2E" w:rsidRDefault="00E7291E" w:rsidP="00E7291E">
            <w:pPr>
              <w:contextualSpacing/>
              <w:jc w:val="center"/>
              <w:rPr>
                <w:rFonts w:eastAsia="Calibri" w:cs="Times New Roman"/>
                <w:i/>
                <w:vertAlign w:val="subscript"/>
              </w:rPr>
            </w:pPr>
            <w:r w:rsidRPr="00916E2E">
              <w:rPr>
                <w:rFonts w:eastAsia="Calibri" w:cs="Times New Roman"/>
                <w:i/>
              </w:rPr>
              <w:t>X</w:t>
            </w:r>
            <w:r w:rsidRPr="00916E2E">
              <w:rPr>
                <w:rFonts w:eastAsia="Calibri" w:cs="Times New Roman"/>
                <w:i/>
                <w:vertAlign w:val="subscript"/>
              </w:rPr>
              <w:t>2</w:t>
            </w:r>
          </w:p>
        </w:tc>
      </w:tr>
      <w:tr w:rsidR="00E7291E" w:rsidRPr="00916E2E" w:rsidTr="00E7291E">
        <w:trPr>
          <w:tblHeader/>
        </w:trPr>
        <w:tc>
          <w:tcPr>
            <w:tcW w:w="0" w:type="auto"/>
            <w:vMerge/>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Unidades</w:t>
            </w: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Peso</w:t>
            </w: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Unidades</w:t>
            </w: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Peso</w:t>
            </w:r>
          </w:p>
        </w:tc>
      </w:tr>
      <w:tr w:rsidR="00E7291E" w:rsidRPr="00916E2E" w:rsidTr="00E7291E">
        <w:tc>
          <w:tcPr>
            <w:tcW w:w="0" w:type="auto"/>
            <w:vAlign w:val="center"/>
          </w:tcPr>
          <w:p w:rsidR="00E7291E" w:rsidRPr="00916E2E" w:rsidRDefault="00E7291E" w:rsidP="00E7291E">
            <w:pPr>
              <w:contextualSpacing/>
              <w:rPr>
                <w:rFonts w:eastAsia="Calibri" w:cs="Times New Roman"/>
                <w:i/>
              </w:rPr>
            </w:pPr>
            <w:r w:rsidRPr="00916E2E">
              <w:rPr>
                <w:rFonts w:eastAsia="Calibri" w:cs="Times New Roman"/>
                <w:i/>
              </w:rPr>
              <w:t>8506</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c>
          <w:tcPr>
            <w:tcW w:w="0" w:type="auto"/>
            <w:vAlign w:val="center"/>
          </w:tcPr>
          <w:p w:rsidR="00E7291E" w:rsidRPr="00916E2E" w:rsidRDefault="00E7291E" w:rsidP="00E7291E">
            <w:pPr>
              <w:contextualSpacing/>
              <w:rPr>
                <w:rFonts w:eastAsia="Calibri" w:cs="Times New Roman"/>
                <w:i/>
              </w:rPr>
            </w:pPr>
            <w:r w:rsidRPr="00916E2E">
              <w:rPr>
                <w:rFonts w:eastAsia="Calibri" w:cs="Times New Roman"/>
                <w:i/>
              </w:rPr>
              <w:t>8507300000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c>
          <w:tcPr>
            <w:tcW w:w="0" w:type="auto"/>
            <w:vAlign w:val="center"/>
          </w:tcPr>
          <w:p w:rsidR="00E7291E" w:rsidRPr="00916E2E" w:rsidRDefault="00E7291E" w:rsidP="00E7291E">
            <w:pPr>
              <w:contextualSpacing/>
              <w:rPr>
                <w:rFonts w:eastAsia="Calibri" w:cs="Times New Roman"/>
                <w:i/>
              </w:rPr>
            </w:pPr>
            <w:r w:rsidRPr="00916E2E">
              <w:rPr>
                <w:rFonts w:eastAsia="Calibri" w:cs="Times New Roman"/>
                <w:i/>
              </w:rPr>
              <w:t>8507400000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c>
          <w:tcPr>
            <w:tcW w:w="0" w:type="auto"/>
            <w:vAlign w:val="center"/>
          </w:tcPr>
          <w:p w:rsidR="00E7291E" w:rsidRPr="00916E2E" w:rsidRDefault="00E7291E" w:rsidP="00E7291E">
            <w:pPr>
              <w:contextualSpacing/>
              <w:rPr>
                <w:rFonts w:eastAsia="Calibri" w:cs="Times New Roman"/>
                <w:i/>
              </w:rPr>
            </w:pPr>
            <w:r w:rsidRPr="00916E2E">
              <w:rPr>
                <w:rFonts w:eastAsia="Calibri" w:cs="Times New Roman"/>
                <w:i/>
              </w:rPr>
              <w:t>8507800010 (actualmente  8507600000)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c>
          <w:tcPr>
            <w:tcW w:w="0" w:type="auto"/>
            <w:vAlign w:val="center"/>
          </w:tcPr>
          <w:p w:rsidR="00E7291E" w:rsidRPr="00916E2E" w:rsidRDefault="00E7291E" w:rsidP="00E7291E">
            <w:pPr>
              <w:contextualSpacing/>
              <w:rPr>
                <w:rFonts w:eastAsia="Calibri" w:cs="Times New Roman"/>
                <w:i/>
              </w:rPr>
            </w:pPr>
            <w:r w:rsidRPr="00916E2E">
              <w:rPr>
                <w:rFonts w:eastAsia="Calibri" w:cs="Times New Roman"/>
                <w:i/>
              </w:rPr>
              <w:t>8507800020 (actualmente  8507500000)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c>
          <w:tcPr>
            <w:tcW w:w="0" w:type="auto"/>
            <w:vAlign w:val="center"/>
          </w:tcPr>
          <w:p w:rsidR="00E7291E" w:rsidRPr="00916E2E" w:rsidRDefault="00E7291E" w:rsidP="00E7291E">
            <w:pPr>
              <w:contextualSpacing/>
              <w:rPr>
                <w:rFonts w:eastAsia="Calibri" w:cs="Times New Roman"/>
                <w:i/>
              </w:rPr>
            </w:pPr>
            <w:r w:rsidRPr="00916E2E">
              <w:rPr>
                <w:rFonts w:eastAsia="Calibri" w:cs="Times New Roman"/>
                <w:i/>
              </w:rPr>
              <w:t>8507800090 (actualmente  8507800000)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c>
          <w:tcPr>
            <w:tcW w:w="0" w:type="auto"/>
            <w:vAlign w:val="center"/>
          </w:tcPr>
          <w:p w:rsidR="00E7291E" w:rsidRPr="00916E2E" w:rsidRDefault="00E7291E" w:rsidP="00E7291E">
            <w:pPr>
              <w:contextualSpacing/>
              <w:rPr>
                <w:rFonts w:eastAsia="Calibri" w:cs="Times New Roman"/>
                <w:i/>
              </w:rPr>
            </w:pPr>
            <w:r w:rsidRPr="00916E2E">
              <w:rPr>
                <w:rFonts w:eastAsia="Calibri" w:cs="Times New Roman"/>
                <w:i/>
              </w:rPr>
              <w:t>Total</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bl>
    <w:p w:rsidR="00E7291E" w:rsidRPr="00916E2E" w:rsidRDefault="00E7291E" w:rsidP="00E7291E">
      <w:pPr>
        <w:ind w:left="720"/>
        <w:contextualSpacing/>
        <w:rPr>
          <w:rFonts w:eastAsia="Calibri"/>
          <w:i/>
        </w:rPr>
      </w:pPr>
    </w:p>
    <w:p w:rsidR="00E7291E" w:rsidRPr="00916E2E" w:rsidRDefault="00E7291E" w:rsidP="00E7291E">
      <w:pPr>
        <w:ind w:left="720"/>
        <w:contextualSpacing/>
        <w:rPr>
          <w:rFonts w:eastAsia="Calibri"/>
          <w:i/>
        </w:rPr>
      </w:pPr>
      <w:r w:rsidRPr="00916E2E">
        <w:rPr>
          <w:rFonts w:eastAsia="Calibri"/>
          <w:i/>
        </w:rPr>
        <w:t>X</w:t>
      </w:r>
      <w:r w:rsidRPr="00916E2E">
        <w:rPr>
          <w:rFonts w:eastAsia="Calibri"/>
          <w:i/>
          <w:vertAlign w:val="subscript"/>
        </w:rPr>
        <w:t xml:space="preserve">1 </w:t>
      </w:r>
      <w:r w:rsidRPr="00916E2E">
        <w:rPr>
          <w:rFonts w:eastAsia="Calibri"/>
          <w:i/>
        </w:rPr>
        <w:t>y X</w:t>
      </w:r>
      <w:r w:rsidRPr="00916E2E">
        <w:rPr>
          <w:rFonts w:eastAsia="Calibri"/>
          <w:i/>
          <w:vertAlign w:val="subscript"/>
        </w:rPr>
        <w:t xml:space="preserve">2 </w:t>
      </w:r>
      <w:r>
        <w:rPr>
          <w:rFonts w:eastAsia="Calibri"/>
          <w:i/>
        </w:rPr>
        <w:t xml:space="preserve">se refieren a </w:t>
      </w:r>
      <w:r w:rsidRPr="00916E2E">
        <w:rPr>
          <w:rFonts w:eastAsia="Calibri"/>
          <w:i/>
        </w:rPr>
        <w:t>los dos años inmediatamente anteriores a la presentación del Sistema, el peso y las unidades corresponden  a las pilas y/o acumuladores  puestas en el mercado por cada tipo.</w:t>
      </w:r>
    </w:p>
    <w:p w:rsidR="00E7291E" w:rsidRPr="00916E2E" w:rsidRDefault="00E7291E" w:rsidP="00E7291E">
      <w:pPr>
        <w:ind w:left="720"/>
        <w:contextualSpacing/>
        <w:rPr>
          <w:rFonts w:eastAsia="Calibri"/>
          <w:i/>
        </w:rPr>
      </w:pPr>
    </w:p>
    <w:p w:rsidR="00E7291E" w:rsidRPr="00916E2E" w:rsidRDefault="00E7291E" w:rsidP="00E7291E">
      <w:pPr>
        <w:numPr>
          <w:ilvl w:val="0"/>
          <w:numId w:val="40"/>
        </w:numPr>
        <w:spacing w:after="200" w:line="276" w:lineRule="auto"/>
        <w:contextualSpacing/>
        <w:jc w:val="left"/>
        <w:rPr>
          <w:rFonts w:eastAsia="Calibri"/>
          <w:i/>
        </w:rPr>
      </w:pPr>
      <w:r w:rsidRPr="00916E2E">
        <w:rPr>
          <w:rFonts w:eastAsia="Calibri"/>
          <w:i/>
        </w:rPr>
        <w:t>Información específica solicitada en el Sistema, de acuerdo con el  inciso número cinco del literal f) del artículo séptimo.</w:t>
      </w:r>
    </w:p>
    <w:p w:rsidR="00E7291E" w:rsidRPr="00916E2E" w:rsidRDefault="00E7291E" w:rsidP="00E7291E">
      <w:pPr>
        <w:ind w:left="720"/>
        <w:contextualSpacing/>
        <w:rPr>
          <w:rFonts w:eastAsia="Calibri"/>
          <w:i/>
        </w:rPr>
      </w:pPr>
    </w:p>
    <w:p w:rsidR="00E7291E" w:rsidRPr="00916E2E" w:rsidRDefault="00E7291E" w:rsidP="00E7291E">
      <w:pPr>
        <w:numPr>
          <w:ilvl w:val="0"/>
          <w:numId w:val="38"/>
        </w:numPr>
        <w:spacing w:after="200" w:line="276" w:lineRule="auto"/>
        <w:contextualSpacing/>
        <w:jc w:val="left"/>
        <w:rPr>
          <w:rFonts w:eastAsia="Calibri"/>
          <w:i/>
        </w:rPr>
      </w:pPr>
      <w:r w:rsidRPr="00916E2E">
        <w:rPr>
          <w:rFonts w:eastAsia="Calibri"/>
          <w:i/>
        </w:rPr>
        <w:t xml:space="preserve">Cantidades de pilas y/o acumuladores previstos a recolectar anualmente (de acuerdo con las metas mínimas establecidas en el artículo décimo). </w:t>
      </w:r>
    </w:p>
    <w:p w:rsidR="00E7291E" w:rsidRPr="00916E2E" w:rsidRDefault="00E7291E" w:rsidP="00E7291E">
      <w:pPr>
        <w:ind w:left="720"/>
        <w:contextualSpacing/>
        <w:rPr>
          <w:rFonts w:eastAsia="Calibri"/>
          <w:i/>
        </w:rPr>
      </w:pPr>
    </w:p>
    <w:tbl>
      <w:tblPr>
        <w:tblStyle w:val="Tablaconcuadrcula1"/>
        <w:tblW w:w="0" w:type="auto"/>
        <w:jc w:val="center"/>
        <w:tblLook w:val="04A0" w:firstRow="1" w:lastRow="0" w:firstColumn="1" w:lastColumn="0" w:noHBand="0" w:noVBand="1"/>
      </w:tblPr>
      <w:tblGrid>
        <w:gridCol w:w="3477"/>
        <w:gridCol w:w="979"/>
        <w:gridCol w:w="628"/>
        <w:gridCol w:w="979"/>
        <w:gridCol w:w="628"/>
        <w:gridCol w:w="979"/>
        <w:gridCol w:w="628"/>
      </w:tblGrid>
      <w:tr w:rsidR="00E7291E" w:rsidRPr="00916E2E" w:rsidTr="00E7291E">
        <w:trPr>
          <w:jc w:val="center"/>
        </w:trPr>
        <w:tc>
          <w:tcPr>
            <w:tcW w:w="0" w:type="auto"/>
            <w:vMerge w:val="restart"/>
            <w:vAlign w:val="center"/>
          </w:tcPr>
          <w:p w:rsidR="00E7291E" w:rsidRPr="00916E2E" w:rsidRDefault="00E7291E" w:rsidP="00E7291E">
            <w:pPr>
              <w:contextualSpacing/>
              <w:jc w:val="center"/>
              <w:rPr>
                <w:rFonts w:eastAsia="Calibri" w:cs="Times New Roman"/>
                <w:i/>
              </w:rPr>
            </w:pPr>
            <w:r w:rsidRPr="00916E2E">
              <w:rPr>
                <w:rFonts w:eastAsia="Calibri" w:cs="Times New Roman"/>
                <w:i/>
              </w:rPr>
              <w:t>Tipo (partida – subpartida)</w:t>
            </w:r>
          </w:p>
        </w:tc>
        <w:tc>
          <w:tcPr>
            <w:tcW w:w="0" w:type="auto"/>
            <w:gridSpan w:val="2"/>
            <w:vAlign w:val="center"/>
          </w:tcPr>
          <w:p w:rsidR="00E7291E" w:rsidRPr="000563AC" w:rsidRDefault="00E7291E" w:rsidP="00E7291E">
            <w:pPr>
              <w:contextualSpacing/>
              <w:jc w:val="center"/>
              <w:rPr>
                <w:rFonts w:eastAsia="Calibri" w:cs="Times New Roman"/>
                <w:i/>
                <w:vertAlign w:val="subscript"/>
              </w:rPr>
            </w:pPr>
            <w:r w:rsidRPr="00916E2E">
              <w:rPr>
                <w:rFonts w:eastAsia="Calibri" w:cs="Times New Roman"/>
                <w:i/>
              </w:rPr>
              <w:t>X</w:t>
            </w:r>
            <w:r>
              <w:rPr>
                <w:rFonts w:eastAsia="Calibri" w:cs="Times New Roman"/>
                <w:i/>
                <w:vertAlign w:val="subscript"/>
              </w:rPr>
              <w:t>3</w:t>
            </w:r>
          </w:p>
        </w:tc>
        <w:tc>
          <w:tcPr>
            <w:tcW w:w="0" w:type="auto"/>
            <w:gridSpan w:val="2"/>
            <w:vAlign w:val="center"/>
          </w:tcPr>
          <w:p w:rsidR="00E7291E" w:rsidRPr="00916E2E" w:rsidRDefault="00E7291E" w:rsidP="00E7291E">
            <w:pPr>
              <w:contextualSpacing/>
              <w:jc w:val="center"/>
              <w:rPr>
                <w:rFonts w:eastAsia="Calibri" w:cs="Times New Roman"/>
                <w:i/>
              </w:rPr>
            </w:pPr>
            <w:r w:rsidRPr="00916E2E">
              <w:rPr>
                <w:rFonts w:eastAsia="Calibri" w:cs="Times New Roman"/>
                <w:i/>
              </w:rPr>
              <w:t>X</w:t>
            </w:r>
            <w:r w:rsidRPr="000563AC">
              <w:rPr>
                <w:rFonts w:eastAsia="Calibri" w:cs="Times New Roman"/>
                <w:i/>
                <w:vertAlign w:val="subscript"/>
              </w:rPr>
              <w:t>4</w:t>
            </w:r>
          </w:p>
        </w:tc>
        <w:tc>
          <w:tcPr>
            <w:tcW w:w="0" w:type="auto"/>
            <w:gridSpan w:val="2"/>
            <w:vAlign w:val="center"/>
          </w:tcPr>
          <w:p w:rsidR="00E7291E" w:rsidRPr="00916E2E" w:rsidRDefault="00E7291E" w:rsidP="00E7291E">
            <w:pPr>
              <w:contextualSpacing/>
              <w:jc w:val="center"/>
              <w:rPr>
                <w:rFonts w:eastAsia="Calibri" w:cs="Times New Roman"/>
                <w:i/>
              </w:rPr>
            </w:pPr>
            <w:r w:rsidRPr="00916E2E">
              <w:rPr>
                <w:rFonts w:eastAsia="Calibri" w:cs="Times New Roman"/>
                <w:i/>
              </w:rPr>
              <w:t>X</w:t>
            </w:r>
            <w:r>
              <w:rPr>
                <w:rFonts w:eastAsia="Calibri" w:cs="Times New Roman"/>
                <w:i/>
                <w:vertAlign w:val="subscript"/>
              </w:rPr>
              <w:t>5</w:t>
            </w:r>
          </w:p>
        </w:tc>
      </w:tr>
      <w:tr w:rsidR="00E7291E" w:rsidRPr="00916E2E" w:rsidTr="00E7291E">
        <w:trPr>
          <w:jc w:val="center"/>
        </w:trPr>
        <w:tc>
          <w:tcPr>
            <w:tcW w:w="0" w:type="auto"/>
            <w:vMerge/>
          </w:tcPr>
          <w:p w:rsidR="00E7291E" w:rsidRPr="00916E2E" w:rsidRDefault="00E7291E" w:rsidP="00E7291E">
            <w:pPr>
              <w:contextualSpacing/>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Unidades</w:t>
            </w: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Peso</w:t>
            </w: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Unidades</w:t>
            </w: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Peso</w:t>
            </w: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Unidades</w:t>
            </w:r>
          </w:p>
        </w:tc>
        <w:tc>
          <w:tcPr>
            <w:tcW w:w="0" w:type="auto"/>
            <w:vAlign w:val="center"/>
          </w:tcPr>
          <w:p w:rsidR="00E7291E" w:rsidRPr="00916E2E" w:rsidRDefault="00E7291E" w:rsidP="00E7291E">
            <w:pPr>
              <w:contextualSpacing/>
              <w:jc w:val="center"/>
              <w:rPr>
                <w:rFonts w:eastAsia="Calibri" w:cs="Times New Roman"/>
                <w:i/>
              </w:rPr>
            </w:pPr>
            <w:r w:rsidRPr="00916E2E">
              <w:rPr>
                <w:rFonts w:eastAsia="Calibri" w:cs="Times New Roman"/>
                <w:i/>
              </w:rPr>
              <w:t>Peso</w:t>
            </w:r>
          </w:p>
        </w:tc>
      </w:tr>
      <w:tr w:rsidR="00E7291E" w:rsidRPr="00916E2E" w:rsidTr="00E7291E">
        <w:trPr>
          <w:jc w:val="center"/>
        </w:trPr>
        <w:tc>
          <w:tcPr>
            <w:tcW w:w="0" w:type="auto"/>
          </w:tcPr>
          <w:p w:rsidR="00E7291E" w:rsidRPr="00916E2E" w:rsidRDefault="00E7291E" w:rsidP="00E7291E">
            <w:pPr>
              <w:contextualSpacing/>
              <w:rPr>
                <w:rFonts w:eastAsia="Calibri" w:cs="Times New Roman"/>
                <w:i/>
              </w:rPr>
            </w:pPr>
            <w:r w:rsidRPr="00916E2E">
              <w:rPr>
                <w:rFonts w:eastAsia="Calibri" w:cs="Times New Roman"/>
                <w:i/>
              </w:rPr>
              <w:t>8506</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rPr>
          <w:jc w:val="center"/>
        </w:trPr>
        <w:tc>
          <w:tcPr>
            <w:tcW w:w="0" w:type="auto"/>
          </w:tcPr>
          <w:p w:rsidR="00E7291E" w:rsidRPr="00916E2E" w:rsidRDefault="00E7291E" w:rsidP="00E7291E">
            <w:pPr>
              <w:contextualSpacing/>
              <w:rPr>
                <w:rFonts w:eastAsia="Calibri" w:cs="Times New Roman"/>
                <w:i/>
              </w:rPr>
            </w:pPr>
            <w:r w:rsidRPr="00916E2E">
              <w:rPr>
                <w:rFonts w:eastAsia="Calibri" w:cs="Times New Roman"/>
                <w:i/>
              </w:rPr>
              <w:t>8507300000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rPr>
          <w:jc w:val="center"/>
        </w:trPr>
        <w:tc>
          <w:tcPr>
            <w:tcW w:w="0" w:type="auto"/>
          </w:tcPr>
          <w:p w:rsidR="00E7291E" w:rsidRPr="00916E2E" w:rsidRDefault="00E7291E" w:rsidP="00E7291E">
            <w:pPr>
              <w:contextualSpacing/>
              <w:rPr>
                <w:rFonts w:eastAsia="Calibri" w:cs="Times New Roman"/>
                <w:i/>
              </w:rPr>
            </w:pPr>
            <w:r w:rsidRPr="00916E2E">
              <w:rPr>
                <w:rFonts w:eastAsia="Calibri" w:cs="Times New Roman"/>
                <w:i/>
              </w:rPr>
              <w:t>8507400000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rPr>
          <w:jc w:val="center"/>
        </w:trPr>
        <w:tc>
          <w:tcPr>
            <w:tcW w:w="0" w:type="auto"/>
          </w:tcPr>
          <w:p w:rsidR="00E7291E" w:rsidRPr="00916E2E" w:rsidRDefault="00E7291E" w:rsidP="00E7291E">
            <w:pPr>
              <w:contextualSpacing/>
              <w:rPr>
                <w:rFonts w:eastAsia="Calibri" w:cs="Times New Roman"/>
                <w:i/>
              </w:rPr>
            </w:pPr>
            <w:r w:rsidRPr="00916E2E">
              <w:rPr>
                <w:rFonts w:eastAsia="Calibri" w:cs="Times New Roman"/>
                <w:i/>
              </w:rPr>
              <w:t>8507800010 (actualmente  8507600000)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rPr>
          <w:jc w:val="center"/>
        </w:trPr>
        <w:tc>
          <w:tcPr>
            <w:tcW w:w="0" w:type="auto"/>
          </w:tcPr>
          <w:p w:rsidR="00E7291E" w:rsidRPr="00916E2E" w:rsidRDefault="00E7291E" w:rsidP="00E7291E">
            <w:pPr>
              <w:contextualSpacing/>
              <w:rPr>
                <w:rFonts w:eastAsia="Calibri" w:cs="Times New Roman"/>
                <w:i/>
              </w:rPr>
            </w:pPr>
            <w:r w:rsidRPr="00916E2E">
              <w:rPr>
                <w:rFonts w:eastAsia="Calibri" w:cs="Times New Roman"/>
                <w:i/>
              </w:rPr>
              <w:t>8507800020 (actualmente  8507500000)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rPr>
          <w:trHeight w:val="264"/>
          <w:jc w:val="center"/>
        </w:trPr>
        <w:tc>
          <w:tcPr>
            <w:tcW w:w="0" w:type="auto"/>
          </w:tcPr>
          <w:p w:rsidR="00E7291E" w:rsidRPr="00916E2E" w:rsidRDefault="00E7291E" w:rsidP="00E7291E">
            <w:pPr>
              <w:contextualSpacing/>
              <w:rPr>
                <w:rFonts w:eastAsia="Calibri" w:cs="Times New Roman"/>
                <w:i/>
              </w:rPr>
            </w:pPr>
            <w:r w:rsidRPr="00916E2E">
              <w:rPr>
                <w:rFonts w:eastAsia="Calibri" w:cs="Times New Roman"/>
                <w:i/>
              </w:rPr>
              <w:t>8507800090 (actualmente  8507800000)</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r w:rsidR="00E7291E" w:rsidRPr="00916E2E" w:rsidTr="00E7291E">
        <w:trPr>
          <w:jc w:val="center"/>
        </w:trPr>
        <w:tc>
          <w:tcPr>
            <w:tcW w:w="0" w:type="auto"/>
          </w:tcPr>
          <w:p w:rsidR="00E7291E" w:rsidRPr="00916E2E" w:rsidRDefault="00E7291E" w:rsidP="00E7291E">
            <w:pPr>
              <w:contextualSpacing/>
              <w:rPr>
                <w:rFonts w:eastAsia="Calibri" w:cs="Times New Roman"/>
                <w:i/>
              </w:rPr>
            </w:pPr>
            <w:r w:rsidRPr="00916E2E">
              <w:rPr>
                <w:rFonts w:eastAsia="Calibri" w:cs="Times New Roman"/>
                <w:i/>
              </w:rPr>
              <w:t>Total</w:t>
            </w: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c>
          <w:tcPr>
            <w:tcW w:w="0" w:type="auto"/>
            <w:vAlign w:val="center"/>
          </w:tcPr>
          <w:p w:rsidR="00E7291E" w:rsidRPr="00916E2E" w:rsidRDefault="00E7291E" w:rsidP="00E7291E">
            <w:pPr>
              <w:contextualSpacing/>
              <w:jc w:val="center"/>
              <w:rPr>
                <w:rFonts w:eastAsia="Calibri" w:cs="Times New Roman"/>
                <w:i/>
              </w:rPr>
            </w:pPr>
          </w:p>
        </w:tc>
      </w:tr>
    </w:tbl>
    <w:p w:rsidR="00E7291E" w:rsidRPr="00916E2E" w:rsidRDefault="00E7291E" w:rsidP="00E7291E">
      <w:pPr>
        <w:ind w:left="720"/>
        <w:contextualSpacing/>
        <w:rPr>
          <w:rFonts w:eastAsia="Calibri"/>
          <w:i/>
        </w:rPr>
      </w:pPr>
    </w:p>
    <w:p w:rsidR="00E7291E" w:rsidRPr="00916E2E" w:rsidRDefault="00E7291E" w:rsidP="00E7291E">
      <w:pPr>
        <w:ind w:left="720"/>
        <w:contextualSpacing/>
        <w:rPr>
          <w:rFonts w:eastAsia="Calibri"/>
          <w:i/>
        </w:rPr>
      </w:pPr>
      <w:r w:rsidRPr="00916E2E">
        <w:rPr>
          <w:rFonts w:eastAsia="Calibri"/>
          <w:i/>
        </w:rPr>
        <w:t>X</w:t>
      </w:r>
      <w:r>
        <w:rPr>
          <w:rFonts w:eastAsia="Calibri"/>
          <w:i/>
          <w:vertAlign w:val="subscript"/>
        </w:rPr>
        <w:t xml:space="preserve">3 </w:t>
      </w:r>
      <w:r>
        <w:rPr>
          <w:rFonts w:eastAsia="Calibri"/>
          <w:i/>
        </w:rPr>
        <w:t xml:space="preserve">se refiere </w:t>
      </w:r>
      <w:r w:rsidRPr="00916E2E">
        <w:rPr>
          <w:rFonts w:eastAsia="Calibri"/>
          <w:i/>
        </w:rPr>
        <w:t>al año anterior al cual se debe presentar el primer  informe de actualización y avance, conforme a lo establecido en el artículo noveno. X</w:t>
      </w:r>
      <w:r>
        <w:rPr>
          <w:rFonts w:eastAsia="Calibri"/>
          <w:i/>
          <w:vertAlign w:val="subscript"/>
        </w:rPr>
        <w:t>4</w:t>
      </w:r>
      <w:r w:rsidRPr="00916E2E">
        <w:rPr>
          <w:rFonts w:eastAsia="Calibri"/>
          <w:i/>
        </w:rPr>
        <w:t xml:space="preserve"> y X</w:t>
      </w:r>
      <w:r>
        <w:rPr>
          <w:rFonts w:eastAsia="Calibri"/>
          <w:i/>
          <w:vertAlign w:val="subscript"/>
        </w:rPr>
        <w:t>5</w:t>
      </w:r>
      <w:r w:rsidRPr="00916E2E">
        <w:rPr>
          <w:rFonts w:eastAsia="Calibri"/>
          <w:i/>
        </w:rPr>
        <w:t xml:space="preserve"> corresponden a los </w:t>
      </w:r>
      <w:r>
        <w:rPr>
          <w:rFonts w:eastAsia="Calibri"/>
          <w:i/>
        </w:rPr>
        <w:t xml:space="preserve">dos </w:t>
      </w:r>
      <w:r w:rsidRPr="00916E2E">
        <w:rPr>
          <w:rFonts w:eastAsia="Calibri"/>
          <w:i/>
        </w:rPr>
        <w:t>años inmediatamente siguientes  a X</w:t>
      </w:r>
      <w:r>
        <w:rPr>
          <w:rFonts w:eastAsia="Calibri"/>
          <w:i/>
          <w:vertAlign w:val="subscript"/>
        </w:rPr>
        <w:t>3</w:t>
      </w:r>
      <w:r w:rsidRPr="00916E2E">
        <w:rPr>
          <w:rFonts w:eastAsia="Calibri"/>
          <w:i/>
        </w:rPr>
        <w:t>. Ejemplo: Para el primer informe de  actualización y avance que se debe presentar a más tardar el 31 de marzo del 2013, X</w:t>
      </w:r>
      <w:r>
        <w:rPr>
          <w:rFonts w:eastAsia="Calibri"/>
          <w:i/>
          <w:vertAlign w:val="subscript"/>
        </w:rPr>
        <w:t>3</w:t>
      </w:r>
      <w:r w:rsidRPr="00916E2E">
        <w:rPr>
          <w:rFonts w:eastAsia="Calibri"/>
          <w:i/>
        </w:rPr>
        <w:t xml:space="preserve"> corresponde al año  2012. </w:t>
      </w:r>
    </w:p>
    <w:p w:rsidR="00E7291E" w:rsidRPr="00916E2E" w:rsidRDefault="00E7291E" w:rsidP="00E7291E">
      <w:pPr>
        <w:ind w:left="720"/>
        <w:contextualSpacing/>
        <w:rPr>
          <w:rFonts w:eastAsia="Calibri"/>
          <w:i/>
        </w:rPr>
      </w:pPr>
    </w:p>
    <w:p w:rsidR="00E7291E" w:rsidRPr="00916E2E" w:rsidRDefault="00E7291E" w:rsidP="00E7291E">
      <w:pPr>
        <w:ind w:left="720"/>
        <w:contextualSpacing/>
        <w:rPr>
          <w:rFonts w:eastAsia="Calibri"/>
          <w:i/>
        </w:rPr>
      </w:pPr>
      <w:r w:rsidRPr="00916E2E">
        <w:rPr>
          <w:rFonts w:eastAsia="Calibri"/>
          <w:i/>
        </w:rPr>
        <w:t>Para el cálculo de las unidades mínimas a recolectar para cada año, se presentan las siguientes consideraciones:</w:t>
      </w:r>
    </w:p>
    <w:p w:rsidR="00E7291E" w:rsidRPr="00916E2E" w:rsidRDefault="00E7291E" w:rsidP="00E7291E">
      <w:pPr>
        <w:ind w:left="720"/>
        <w:contextualSpacing/>
        <w:rPr>
          <w:rFonts w:eastAsia="Calibri"/>
          <w:i/>
        </w:rPr>
      </w:pPr>
    </w:p>
    <w:p w:rsidR="00E7291E" w:rsidRPr="00916E2E" w:rsidRDefault="00E7291E" w:rsidP="00E7291E">
      <w:pPr>
        <w:numPr>
          <w:ilvl w:val="0"/>
          <w:numId w:val="38"/>
        </w:numPr>
        <w:spacing w:after="200" w:line="276" w:lineRule="auto"/>
        <w:contextualSpacing/>
        <w:rPr>
          <w:rFonts w:eastAsia="Calibri"/>
          <w:i/>
        </w:rPr>
      </w:pPr>
      <w:r w:rsidRPr="00916E2E">
        <w:rPr>
          <w:rFonts w:eastAsia="Calibri"/>
          <w:i/>
        </w:rPr>
        <w:t>Para  cada  año se verifica el % de cumplimiento establecido según los literales b, c y d del artículo décimo.</w:t>
      </w:r>
    </w:p>
    <w:p w:rsidR="00E7291E" w:rsidRPr="00916E2E" w:rsidRDefault="00E7291E" w:rsidP="00E7291E">
      <w:pPr>
        <w:numPr>
          <w:ilvl w:val="0"/>
          <w:numId w:val="38"/>
        </w:numPr>
        <w:spacing w:after="200" w:line="276" w:lineRule="auto"/>
        <w:contextualSpacing/>
        <w:rPr>
          <w:rFonts w:eastAsia="Calibri"/>
          <w:i/>
        </w:rPr>
      </w:pPr>
      <w:r w:rsidRPr="00916E2E">
        <w:rPr>
          <w:rFonts w:eastAsia="Calibri"/>
          <w:i/>
        </w:rPr>
        <w:t xml:space="preserve">Las unidades mínimas a recolectar para </w:t>
      </w:r>
      <w:r>
        <w:rPr>
          <w:rFonts w:eastAsia="Calibri"/>
          <w:i/>
        </w:rPr>
        <w:t>el primer año</w:t>
      </w:r>
      <w:r w:rsidRPr="00916E2E">
        <w:rPr>
          <w:rFonts w:eastAsia="Calibri"/>
          <w:i/>
        </w:rPr>
        <w:t>, se obtienen aplicando el porcentaje correspondiente al promedio aritmético de unidades puestas en el mercado de los dos años anteriores a la presentación del Sistema.</w:t>
      </w:r>
    </w:p>
    <w:p w:rsidR="00E7291E" w:rsidRPr="00916E2E" w:rsidRDefault="00E7291E" w:rsidP="00E7291E">
      <w:pPr>
        <w:numPr>
          <w:ilvl w:val="0"/>
          <w:numId w:val="38"/>
        </w:numPr>
        <w:spacing w:after="200" w:line="276" w:lineRule="auto"/>
        <w:contextualSpacing/>
        <w:rPr>
          <w:rFonts w:eastAsia="Calibri"/>
          <w:i/>
        </w:rPr>
      </w:pPr>
      <w:r w:rsidRPr="00916E2E">
        <w:rPr>
          <w:rFonts w:eastAsia="Calibri"/>
          <w:i/>
        </w:rPr>
        <w:t xml:space="preserve">Las unidades mínimas a recolectar para el </w:t>
      </w:r>
      <w:r>
        <w:rPr>
          <w:rFonts w:eastAsia="Calibri"/>
          <w:i/>
        </w:rPr>
        <w:t xml:space="preserve">segundo </w:t>
      </w:r>
      <w:r w:rsidRPr="00916E2E">
        <w:rPr>
          <w:rFonts w:eastAsia="Calibri"/>
          <w:i/>
        </w:rPr>
        <w:t>año, se obtienen aplicando el porcentaje correspondiente al promedio aritmético de las unidades de  ventas  proyectadas para el año de presentación del Sistema y las unidades vendidas el año anterior a la presentación de este.</w:t>
      </w:r>
    </w:p>
    <w:p w:rsidR="00E7291E" w:rsidRPr="00916E2E" w:rsidRDefault="00E7291E" w:rsidP="00E7291E">
      <w:pPr>
        <w:ind w:left="720"/>
        <w:contextualSpacing/>
        <w:rPr>
          <w:rFonts w:eastAsia="Calibri"/>
          <w:i/>
        </w:rPr>
      </w:pPr>
    </w:p>
    <w:p w:rsidR="00E7291E" w:rsidRPr="00916E2E" w:rsidRDefault="00E7291E" w:rsidP="00E7291E">
      <w:pPr>
        <w:numPr>
          <w:ilvl w:val="0"/>
          <w:numId w:val="38"/>
        </w:numPr>
        <w:spacing w:after="200" w:line="276" w:lineRule="auto"/>
        <w:contextualSpacing/>
        <w:rPr>
          <w:rFonts w:eastAsia="Calibri"/>
          <w:i/>
        </w:rPr>
      </w:pPr>
      <w:r w:rsidRPr="00916E2E">
        <w:rPr>
          <w:rFonts w:eastAsia="Calibri"/>
          <w:i/>
        </w:rPr>
        <w:t xml:space="preserve">Finalmente, las unidades mínimas a recolectar para el </w:t>
      </w:r>
      <w:r>
        <w:rPr>
          <w:rFonts w:eastAsia="Calibri"/>
          <w:i/>
        </w:rPr>
        <w:t>tercer año</w:t>
      </w:r>
      <w:r w:rsidRPr="00916E2E">
        <w:rPr>
          <w:rFonts w:eastAsia="Calibri"/>
          <w:i/>
        </w:rPr>
        <w:t>, se obtienen aplicando el porcentaje correspondiente al promedio aritmético de las unidades de  ventas  proyectadas para el año de presentación del Sistema y el siguiente año.</w:t>
      </w:r>
    </w:p>
    <w:p w:rsidR="00E7291E" w:rsidRPr="00916E2E" w:rsidRDefault="00E7291E" w:rsidP="00E7291E">
      <w:pPr>
        <w:ind w:left="720"/>
        <w:contextualSpacing/>
        <w:rPr>
          <w:rFonts w:eastAsia="Calibri"/>
          <w:i/>
        </w:rPr>
      </w:pPr>
    </w:p>
    <w:p w:rsidR="00E7291E" w:rsidRPr="00916E2E" w:rsidRDefault="00E7291E" w:rsidP="00E7291E">
      <w:pPr>
        <w:ind w:left="426"/>
        <w:contextualSpacing/>
        <w:rPr>
          <w:rFonts w:eastAsia="Calibri"/>
          <w:i/>
        </w:rPr>
      </w:pPr>
      <w:r w:rsidRPr="00916E2E">
        <w:rPr>
          <w:rFonts w:eastAsia="Calibri"/>
          <w:i/>
        </w:rPr>
        <w:t>La equivalencia en peso de las unidades a recolectar por cada tipo de pilas y/o acumuladores, se estimará de acuerdo con la información técnica aportada por el fabricante o importador.</w:t>
      </w:r>
    </w:p>
    <w:p w:rsidR="00E7291E" w:rsidRPr="00916E2E" w:rsidRDefault="00E7291E" w:rsidP="00E7291E">
      <w:pPr>
        <w:ind w:left="426"/>
        <w:contextualSpacing/>
        <w:rPr>
          <w:rFonts w:eastAsia="Calibri"/>
          <w:i/>
        </w:rPr>
      </w:pPr>
    </w:p>
    <w:p w:rsidR="00E7291E" w:rsidRPr="00916E2E" w:rsidRDefault="00E7291E" w:rsidP="00E7291E">
      <w:pPr>
        <w:ind w:left="426"/>
        <w:contextualSpacing/>
        <w:rPr>
          <w:rFonts w:eastAsia="Calibri"/>
          <w:i/>
        </w:rPr>
      </w:pPr>
      <w:r w:rsidRPr="00916E2E">
        <w:rPr>
          <w:rFonts w:eastAsia="Calibri"/>
          <w:i/>
        </w:rPr>
        <w:t>El % en peso, corresponde a la relación entre el peso que se prevea recolectar cada año y la equivalencia en peso del promedio aritmético de unidades vendidas o proyectadas</w:t>
      </w:r>
    </w:p>
    <w:p w:rsidR="00E7291E" w:rsidRPr="00916E2E" w:rsidRDefault="00E7291E" w:rsidP="00E7291E">
      <w:pPr>
        <w:ind w:left="360"/>
        <w:contextualSpacing/>
        <w:rPr>
          <w:rFonts w:eastAsia="Calibri"/>
          <w:i/>
        </w:rPr>
      </w:pPr>
    </w:p>
    <w:p w:rsidR="00E7291E" w:rsidRPr="00916E2E" w:rsidRDefault="00E7291E" w:rsidP="00E7291E">
      <w:pPr>
        <w:numPr>
          <w:ilvl w:val="0"/>
          <w:numId w:val="41"/>
        </w:numPr>
        <w:spacing w:after="200" w:line="276" w:lineRule="auto"/>
        <w:ind w:left="426" w:hanging="426"/>
        <w:contextualSpacing/>
        <w:jc w:val="left"/>
        <w:rPr>
          <w:rFonts w:eastAsia="Calibri"/>
          <w:b/>
          <w:i/>
        </w:rPr>
      </w:pPr>
      <w:r w:rsidRPr="00916E2E">
        <w:rPr>
          <w:rFonts w:eastAsia="Calibri"/>
          <w:b/>
          <w:i/>
        </w:rPr>
        <w:t>Verificación del cumplimiento de la meta de recolección</w:t>
      </w:r>
    </w:p>
    <w:p w:rsidR="00E7291E" w:rsidRPr="00916E2E" w:rsidRDefault="00E7291E" w:rsidP="00E7291E">
      <w:pPr>
        <w:ind w:left="360"/>
        <w:contextualSpacing/>
        <w:rPr>
          <w:rFonts w:eastAsia="Calibri"/>
          <w:i/>
        </w:rPr>
      </w:pPr>
    </w:p>
    <w:p w:rsidR="00E7291E" w:rsidRPr="00916E2E" w:rsidRDefault="00E7291E" w:rsidP="00E7291E">
      <w:pPr>
        <w:ind w:left="360"/>
        <w:contextualSpacing/>
        <w:rPr>
          <w:rFonts w:eastAsia="Calibri"/>
          <w:i/>
        </w:rPr>
      </w:pPr>
      <w:r w:rsidRPr="00916E2E">
        <w:rPr>
          <w:rFonts w:eastAsia="Calibri"/>
          <w:i/>
        </w:rPr>
        <w:t>Consideraciones:</w:t>
      </w:r>
    </w:p>
    <w:p w:rsidR="00E7291E" w:rsidRDefault="00E7291E" w:rsidP="00E7291E">
      <w:pPr>
        <w:numPr>
          <w:ilvl w:val="0"/>
          <w:numId w:val="40"/>
        </w:numPr>
        <w:spacing w:after="200" w:line="276" w:lineRule="auto"/>
        <w:contextualSpacing/>
        <w:rPr>
          <w:rFonts w:eastAsia="Calibri"/>
          <w:i/>
        </w:rPr>
      </w:pPr>
      <w:r w:rsidRPr="00916E2E">
        <w:rPr>
          <w:rFonts w:eastAsia="Calibri"/>
          <w:i/>
        </w:rPr>
        <w:t xml:space="preserve">La meta mínima de recolección prevista para cada Sistema </w:t>
      </w:r>
      <w:r>
        <w:rPr>
          <w:rFonts w:eastAsia="Calibri"/>
          <w:i/>
        </w:rPr>
        <w:t xml:space="preserve">se fija </w:t>
      </w:r>
      <w:r w:rsidRPr="00916E2E">
        <w:rPr>
          <w:rFonts w:eastAsia="Calibri"/>
          <w:i/>
        </w:rPr>
        <w:t xml:space="preserve">en función de </w:t>
      </w:r>
      <w:r>
        <w:rPr>
          <w:rFonts w:eastAsia="Calibri"/>
          <w:i/>
        </w:rPr>
        <w:t xml:space="preserve">la cantidad </w:t>
      </w:r>
      <w:r w:rsidRPr="00916E2E">
        <w:rPr>
          <w:rFonts w:eastAsia="Calibri"/>
          <w:i/>
        </w:rPr>
        <w:t>puest</w:t>
      </w:r>
      <w:r>
        <w:rPr>
          <w:rFonts w:eastAsia="Calibri"/>
          <w:i/>
        </w:rPr>
        <w:t>a</w:t>
      </w:r>
      <w:r w:rsidR="009E1B22">
        <w:rPr>
          <w:rFonts w:eastAsia="Calibri"/>
          <w:i/>
        </w:rPr>
        <w:t xml:space="preserve"> </w:t>
      </w:r>
      <w:r>
        <w:rPr>
          <w:rFonts w:eastAsia="Calibri"/>
          <w:i/>
        </w:rPr>
        <w:t xml:space="preserve">en </w:t>
      </w:r>
      <w:r w:rsidRPr="00916E2E">
        <w:rPr>
          <w:rFonts w:eastAsia="Calibri"/>
          <w:i/>
        </w:rPr>
        <w:t xml:space="preserve">el mercado por cada </w:t>
      </w:r>
      <w:r w:rsidRPr="00101CD3">
        <w:rPr>
          <w:rFonts w:eastAsia="Calibri"/>
          <w:i/>
        </w:rPr>
        <w:t>productor</w:t>
      </w:r>
      <w:r>
        <w:rPr>
          <w:rFonts w:eastAsia="Calibri"/>
          <w:i/>
        </w:rPr>
        <w:t xml:space="preserve"> (según artículo 3 de la Resolución 1297 de 2010.)</w:t>
      </w:r>
    </w:p>
    <w:p w:rsidR="00E7291E" w:rsidRPr="00916E2E" w:rsidRDefault="00E7291E" w:rsidP="00E7291E">
      <w:pPr>
        <w:ind w:left="644"/>
        <w:contextualSpacing/>
        <w:rPr>
          <w:rFonts w:eastAsia="Calibri"/>
          <w:i/>
        </w:rPr>
      </w:pPr>
    </w:p>
    <w:p w:rsidR="00E7291E" w:rsidRDefault="00E7291E" w:rsidP="00E7291E">
      <w:pPr>
        <w:numPr>
          <w:ilvl w:val="0"/>
          <w:numId w:val="40"/>
        </w:numPr>
        <w:spacing w:after="200" w:line="276" w:lineRule="auto"/>
        <w:contextualSpacing/>
        <w:rPr>
          <w:rFonts w:eastAsia="Calibri"/>
          <w:i/>
        </w:rPr>
      </w:pPr>
      <w:r w:rsidRPr="00916E2E">
        <w:rPr>
          <w:rFonts w:eastAsia="Calibri"/>
          <w:i/>
        </w:rPr>
        <w:t>La recolección, en la mayoría de los casos no es exclusiva  de los mismos residuos generados por el productor.</w:t>
      </w:r>
    </w:p>
    <w:p w:rsidR="00E7291E" w:rsidRDefault="00E7291E" w:rsidP="00E7291E">
      <w:pPr>
        <w:ind w:left="644"/>
        <w:contextualSpacing/>
        <w:rPr>
          <w:rFonts w:eastAsia="Calibri"/>
          <w:i/>
        </w:rPr>
      </w:pPr>
    </w:p>
    <w:p w:rsidR="00E7291E" w:rsidRDefault="00E7291E" w:rsidP="00E7291E">
      <w:pPr>
        <w:numPr>
          <w:ilvl w:val="0"/>
          <w:numId w:val="40"/>
        </w:numPr>
        <w:spacing w:after="200" w:line="276" w:lineRule="auto"/>
        <w:contextualSpacing/>
        <w:rPr>
          <w:rFonts w:eastAsia="Calibri"/>
          <w:i/>
        </w:rPr>
      </w:pPr>
      <w:r w:rsidRPr="00916E2E">
        <w:rPr>
          <w:rFonts w:eastAsia="Calibri"/>
          <w:i/>
        </w:rPr>
        <w:t>Existe una gran variedad de referencias y pesos de pilas y/o acumuladores en el mercado Colombiano.</w:t>
      </w:r>
    </w:p>
    <w:p w:rsidR="00E7291E" w:rsidRPr="00916E2E" w:rsidRDefault="00E7291E" w:rsidP="00E7291E">
      <w:pPr>
        <w:ind w:left="644"/>
        <w:contextualSpacing/>
        <w:rPr>
          <w:rFonts w:eastAsia="Calibri"/>
          <w:i/>
        </w:rPr>
      </w:pPr>
    </w:p>
    <w:p w:rsidR="00E7291E" w:rsidRDefault="00E7291E" w:rsidP="00E7291E">
      <w:pPr>
        <w:numPr>
          <w:ilvl w:val="0"/>
          <w:numId w:val="40"/>
        </w:numPr>
        <w:spacing w:after="200" w:line="276" w:lineRule="auto"/>
        <w:contextualSpacing/>
        <w:rPr>
          <w:rFonts w:eastAsia="Calibri"/>
          <w:i/>
        </w:rPr>
      </w:pPr>
      <w:r w:rsidRPr="00916E2E">
        <w:rPr>
          <w:rFonts w:eastAsia="Calibri"/>
          <w:i/>
        </w:rPr>
        <w:t>Realizar un conteo manual de las unidades de pilas y/o acumuladores recolectados es extremadamente dispendioso y costoso, debido a la diversidad de los residuos (diferentes tipos y tamaños) y los volúmenes de estos.</w:t>
      </w:r>
    </w:p>
    <w:p w:rsidR="00E7291E" w:rsidRPr="00916E2E" w:rsidRDefault="00E7291E" w:rsidP="00E7291E">
      <w:pPr>
        <w:ind w:left="644"/>
        <w:contextualSpacing/>
        <w:rPr>
          <w:rFonts w:eastAsia="Calibri"/>
          <w:i/>
        </w:rPr>
      </w:pPr>
    </w:p>
    <w:p w:rsidR="00E7291E" w:rsidRDefault="00E7291E" w:rsidP="00E7291E">
      <w:pPr>
        <w:numPr>
          <w:ilvl w:val="0"/>
          <w:numId w:val="40"/>
        </w:numPr>
        <w:spacing w:after="200" w:line="276" w:lineRule="auto"/>
        <w:contextualSpacing/>
        <w:rPr>
          <w:rFonts w:eastAsia="Calibri"/>
          <w:i/>
        </w:rPr>
      </w:pPr>
      <w:r w:rsidRPr="00916E2E">
        <w:rPr>
          <w:rFonts w:eastAsia="Calibri"/>
          <w:i/>
        </w:rPr>
        <w:t>Las cantidades de pilas y/o acumuladores tratadas y/o dispuestas  por los gestores se certifican en unidades de peso, debido al grado de complejidad de verificación de la cantidad en unidades entregadas para ser gestionadas, lo cual permite realizar seguimientos y verificaciones más eficientes por parte de  la Autoridad Ambiental.</w:t>
      </w:r>
    </w:p>
    <w:p w:rsidR="00E7291E" w:rsidRDefault="00E7291E" w:rsidP="00E7291E">
      <w:pPr>
        <w:ind w:left="644"/>
        <w:contextualSpacing/>
        <w:rPr>
          <w:rFonts w:eastAsia="Calibri"/>
          <w:i/>
        </w:rPr>
      </w:pPr>
    </w:p>
    <w:p w:rsidR="00E7291E" w:rsidRPr="00916E2E" w:rsidRDefault="00E7291E" w:rsidP="00E7291E">
      <w:pPr>
        <w:numPr>
          <w:ilvl w:val="0"/>
          <w:numId w:val="40"/>
        </w:numPr>
        <w:spacing w:after="200" w:line="276" w:lineRule="auto"/>
        <w:contextualSpacing/>
        <w:rPr>
          <w:rFonts w:eastAsia="Calibri"/>
          <w:i/>
        </w:rPr>
      </w:pPr>
      <w:r w:rsidRPr="00916E2E">
        <w:rPr>
          <w:rFonts w:eastAsia="Calibri"/>
          <w:i/>
        </w:rPr>
        <w:t>Las metodologías de equivalencias entre peso y unidades diseñadas por los productores difieren  significativamente, a continuación se citan algunos ejemplos:</w:t>
      </w:r>
    </w:p>
    <w:p w:rsidR="00E7291E" w:rsidRPr="00916E2E" w:rsidRDefault="00E7291E" w:rsidP="00E7291E">
      <w:pPr>
        <w:ind w:left="720"/>
        <w:contextualSpacing/>
        <w:rPr>
          <w:rFonts w:eastAsia="Calibri"/>
          <w:i/>
        </w:rPr>
      </w:pPr>
    </w:p>
    <w:p w:rsidR="00E7291E" w:rsidRPr="00916E2E" w:rsidRDefault="00E7291E" w:rsidP="00E7291E">
      <w:pPr>
        <w:numPr>
          <w:ilvl w:val="1"/>
          <w:numId w:val="40"/>
        </w:numPr>
        <w:spacing w:after="200" w:line="276" w:lineRule="auto"/>
        <w:contextualSpacing/>
        <w:rPr>
          <w:rFonts w:eastAsia="Calibri"/>
          <w:i/>
        </w:rPr>
      </w:pPr>
      <w:r w:rsidRPr="00916E2E">
        <w:rPr>
          <w:rFonts w:eastAsia="Calibri"/>
          <w:i/>
        </w:rPr>
        <w:t xml:space="preserve">SRS0014 </w:t>
      </w:r>
      <w:r w:rsidRPr="00916E2E">
        <w:rPr>
          <w:rFonts w:eastAsia="Calibri"/>
          <w:i/>
        </w:rPr>
        <w:sym w:font="Wingdings" w:char="F0E0"/>
      </w:r>
      <w:r w:rsidRPr="00916E2E">
        <w:rPr>
          <w:rFonts w:eastAsia="Calibri"/>
          <w:i/>
        </w:rPr>
        <w:t>1Kg equivale a 30,0 unidades (ANDI)</w:t>
      </w:r>
    </w:p>
    <w:p w:rsidR="00E7291E" w:rsidRPr="00916E2E" w:rsidRDefault="00E7291E" w:rsidP="00E7291E">
      <w:pPr>
        <w:numPr>
          <w:ilvl w:val="1"/>
          <w:numId w:val="40"/>
        </w:numPr>
        <w:spacing w:after="200" w:line="276" w:lineRule="auto"/>
        <w:contextualSpacing/>
        <w:rPr>
          <w:rFonts w:eastAsia="Calibri"/>
          <w:i/>
        </w:rPr>
      </w:pPr>
      <w:r w:rsidRPr="00916E2E">
        <w:rPr>
          <w:rFonts w:eastAsia="Calibri"/>
          <w:i/>
        </w:rPr>
        <w:t xml:space="preserve">SRS0016 </w:t>
      </w:r>
      <w:r w:rsidRPr="00916E2E">
        <w:rPr>
          <w:rFonts w:eastAsia="Calibri"/>
          <w:i/>
        </w:rPr>
        <w:sym w:font="Wingdings" w:char="F0E0"/>
      </w:r>
      <w:r w:rsidRPr="00916E2E">
        <w:rPr>
          <w:rFonts w:eastAsia="Calibri"/>
          <w:i/>
        </w:rPr>
        <w:t xml:space="preserve"> 1Kg equivale a 45,2 unidades (Panasonic – Occidente)</w:t>
      </w:r>
    </w:p>
    <w:p w:rsidR="00E7291E" w:rsidRPr="00916E2E" w:rsidRDefault="00E7291E" w:rsidP="00E7291E">
      <w:pPr>
        <w:numPr>
          <w:ilvl w:val="1"/>
          <w:numId w:val="40"/>
        </w:numPr>
        <w:spacing w:after="200" w:line="276" w:lineRule="auto"/>
        <w:contextualSpacing/>
        <w:rPr>
          <w:rFonts w:eastAsia="Calibri"/>
          <w:i/>
        </w:rPr>
      </w:pPr>
      <w:r w:rsidRPr="00916E2E">
        <w:rPr>
          <w:rFonts w:eastAsia="Calibri"/>
          <w:i/>
        </w:rPr>
        <w:t xml:space="preserve">SRS0017 </w:t>
      </w:r>
      <w:r w:rsidRPr="00916E2E">
        <w:rPr>
          <w:rFonts w:eastAsia="Calibri"/>
          <w:i/>
        </w:rPr>
        <w:sym w:font="Wingdings" w:char="F0E0"/>
      </w:r>
      <w:r w:rsidRPr="00916E2E">
        <w:rPr>
          <w:rFonts w:eastAsia="Calibri"/>
          <w:i/>
        </w:rPr>
        <w:t xml:space="preserve"> 1Kg equivale a 36,9 unidades (</w:t>
      </w:r>
      <w:r w:rsidRPr="00916E2E">
        <w:rPr>
          <w:rFonts w:eastAsia="Calibri"/>
          <w:i/>
          <w:szCs w:val="13"/>
        </w:rPr>
        <w:t>MULTIPLE POWER LIMITADA)</w:t>
      </w:r>
    </w:p>
    <w:p w:rsidR="00E7291E" w:rsidRPr="00916E2E" w:rsidRDefault="00E7291E" w:rsidP="00E7291E">
      <w:pPr>
        <w:numPr>
          <w:ilvl w:val="1"/>
          <w:numId w:val="40"/>
        </w:numPr>
        <w:spacing w:after="200" w:line="276" w:lineRule="auto"/>
        <w:contextualSpacing/>
        <w:rPr>
          <w:rFonts w:eastAsia="Calibri"/>
          <w:i/>
        </w:rPr>
      </w:pPr>
      <w:r w:rsidRPr="00916E2E">
        <w:rPr>
          <w:rFonts w:eastAsia="Calibri"/>
          <w:i/>
        </w:rPr>
        <w:t xml:space="preserve">SRS0018 </w:t>
      </w:r>
      <w:r w:rsidRPr="00916E2E">
        <w:rPr>
          <w:rFonts w:eastAsia="Calibri"/>
          <w:i/>
        </w:rPr>
        <w:sym w:font="Wingdings" w:char="F0E0"/>
      </w:r>
      <w:r w:rsidRPr="00916E2E">
        <w:rPr>
          <w:rFonts w:eastAsia="Calibri"/>
          <w:i/>
        </w:rPr>
        <w:t xml:space="preserve"> 1Kg equivale a 55,8 unidades(Panasonic – Central)</w:t>
      </w:r>
    </w:p>
    <w:p w:rsidR="00E7291E" w:rsidRPr="00916E2E" w:rsidRDefault="00E7291E" w:rsidP="00E7291E">
      <w:pPr>
        <w:numPr>
          <w:ilvl w:val="1"/>
          <w:numId w:val="40"/>
        </w:numPr>
        <w:spacing w:after="200" w:line="276" w:lineRule="auto"/>
        <w:contextualSpacing/>
        <w:rPr>
          <w:rFonts w:eastAsia="Calibri"/>
          <w:i/>
        </w:rPr>
      </w:pPr>
      <w:r w:rsidRPr="00916E2E">
        <w:rPr>
          <w:rFonts w:eastAsia="Calibri"/>
          <w:i/>
        </w:rPr>
        <w:t xml:space="preserve">SRS0027 </w:t>
      </w:r>
      <w:r w:rsidRPr="00916E2E">
        <w:rPr>
          <w:rFonts w:eastAsia="Calibri"/>
          <w:i/>
        </w:rPr>
        <w:sym w:font="Wingdings" w:char="F0E0"/>
      </w:r>
      <w:r w:rsidRPr="00916E2E">
        <w:rPr>
          <w:rFonts w:eastAsia="Calibri"/>
          <w:i/>
        </w:rPr>
        <w:t>1Kg equivale a 1850 unidades (Vartec-pilas botón)</w:t>
      </w:r>
    </w:p>
    <w:p w:rsidR="00E7291E" w:rsidRPr="00916E2E" w:rsidRDefault="00E7291E" w:rsidP="00E7291E">
      <w:pPr>
        <w:ind w:left="720"/>
        <w:contextualSpacing/>
        <w:rPr>
          <w:rFonts w:eastAsia="Calibri"/>
          <w:i/>
        </w:rPr>
      </w:pPr>
    </w:p>
    <w:p w:rsidR="00E7291E" w:rsidRPr="00C647F7" w:rsidRDefault="00E7291E" w:rsidP="00E7291E">
      <w:pPr>
        <w:numPr>
          <w:ilvl w:val="0"/>
          <w:numId w:val="42"/>
        </w:numPr>
        <w:spacing w:after="200" w:line="276" w:lineRule="auto"/>
        <w:ind w:left="709" w:hanging="283"/>
        <w:contextualSpacing/>
        <w:rPr>
          <w:rFonts w:eastAsia="Calibri"/>
          <w:i/>
        </w:rPr>
      </w:pPr>
      <w:r w:rsidRPr="00C647F7">
        <w:rPr>
          <w:rFonts w:eastAsia="Calibri"/>
          <w:i/>
        </w:rPr>
        <w:t>Basados en el considerando de la Resolución que establece la obligación de formular, presentar e implementar los Sistemas de Recolección Selectiva y Gestión Ambiental  de Residuos de Pilas y/o Acumuladores (Resolución 1297 de 2010), cuyo propósito es prevenir y controlar la degradación del ambiente mediante la reducción de los posibles impactos, ocasionados por el inadecuado manejo y la generación de los residuos de pilas y/o acumuladores. Estos impactos son cuantificables en unidades de peso como se citan en los antecedentes presentados para la formulación de la Resolución:</w:t>
      </w:r>
    </w:p>
    <w:p w:rsidR="00E7291E" w:rsidRPr="00916E2E" w:rsidRDefault="00E7291E" w:rsidP="00E7291E">
      <w:pPr>
        <w:ind w:left="360"/>
        <w:contextualSpacing/>
        <w:rPr>
          <w:rFonts w:eastAsia="Calibri"/>
          <w:i/>
        </w:rPr>
      </w:pPr>
    </w:p>
    <w:p w:rsidR="00E7291E" w:rsidRPr="00916E2E" w:rsidRDefault="00E7291E" w:rsidP="00E7291E">
      <w:pPr>
        <w:ind w:left="1080"/>
        <w:contextualSpacing/>
        <w:rPr>
          <w:rFonts w:eastAsia="Calibri"/>
          <w:i/>
        </w:rPr>
      </w:pPr>
      <w:r w:rsidRPr="00916E2E">
        <w:rPr>
          <w:rFonts w:eastAsia="Calibri"/>
          <w:i/>
        </w:rPr>
        <w:t>“En promedio al año se generan 11.000 toneladas de residuos de pilas en el país,  de las cuales 8.000 toneladas corresponden a pilas Zinc carbón, 2.000 toneladas a pilas alcalinas y el resto lo componen los residuos de pilas secundarias y de botón.</w:t>
      </w:r>
    </w:p>
    <w:p w:rsidR="00E7291E" w:rsidRDefault="00E7291E" w:rsidP="00E7291E">
      <w:pPr>
        <w:ind w:left="1080"/>
        <w:contextualSpacing/>
        <w:rPr>
          <w:rFonts w:eastAsia="Calibri"/>
          <w:i/>
        </w:rPr>
      </w:pPr>
    </w:p>
    <w:p w:rsidR="00E7291E" w:rsidRPr="00916E2E" w:rsidRDefault="00E7291E" w:rsidP="00E7291E">
      <w:pPr>
        <w:ind w:left="1080"/>
        <w:contextualSpacing/>
        <w:rPr>
          <w:rFonts w:eastAsia="Calibri"/>
          <w:i/>
        </w:rPr>
      </w:pPr>
      <w:r w:rsidRPr="00916E2E">
        <w:rPr>
          <w:rFonts w:eastAsia="Calibri"/>
          <w:i/>
        </w:rPr>
        <w:t>En los últimos 7 años se han generado y dispuesto en los rellenos sanitarios y botaderos a cielo abierto en Colombia cerca de 77.000 toneladas de residuos de pilas.</w:t>
      </w:r>
    </w:p>
    <w:p w:rsidR="00E7291E" w:rsidRPr="00916E2E" w:rsidRDefault="00E7291E" w:rsidP="00E7291E">
      <w:pPr>
        <w:ind w:left="360"/>
        <w:contextualSpacing/>
        <w:rPr>
          <w:rFonts w:eastAsia="Calibri"/>
          <w:i/>
        </w:rPr>
      </w:pPr>
    </w:p>
    <w:p w:rsidR="00E7291E" w:rsidRPr="00916E2E" w:rsidRDefault="00E7291E" w:rsidP="00E7291E">
      <w:pPr>
        <w:ind w:left="1080"/>
        <w:contextualSpacing/>
        <w:rPr>
          <w:rFonts w:eastAsia="Calibri"/>
          <w:i/>
        </w:rPr>
      </w:pPr>
      <w:r w:rsidRPr="00916E2E">
        <w:rPr>
          <w:rFonts w:eastAsia="Calibri"/>
          <w:i/>
        </w:rPr>
        <w:t>Entre el 2002 y el 2008, se han descargado al ambiente cerca de 14.000 toneladas de Zinc, 13.000 toneladas de manganeso, 60 toneladas de cadmio, 15 toneladas de cromo, 100 toneladas de níquel, 30 toneladas de plomo, 350 kg de mercurio y 350 kg de litio, especialmente a los rellenos sanitarios y botaderos a cielo abierto, provenientes de las pilas que desechan los consumidores junto con la basura doméstica.</w:t>
      </w:r>
    </w:p>
    <w:p w:rsidR="00E7291E" w:rsidRDefault="00E7291E" w:rsidP="00E7291E">
      <w:pPr>
        <w:ind w:left="1080"/>
        <w:contextualSpacing/>
        <w:rPr>
          <w:rFonts w:eastAsia="Calibri"/>
          <w:i/>
        </w:rPr>
      </w:pPr>
    </w:p>
    <w:p w:rsidR="00E7291E" w:rsidRPr="00916E2E" w:rsidRDefault="00E7291E" w:rsidP="00E7291E">
      <w:pPr>
        <w:ind w:left="1080"/>
        <w:contextualSpacing/>
        <w:rPr>
          <w:rFonts w:eastAsia="Calibri"/>
          <w:i/>
        </w:rPr>
      </w:pPr>
      <w:r w:rsidRPr="00916E2E">
        <w:rPr>
          <w:rFonts w:eastAsia="Calibri"/>
          <w:i/>
        </w:rPr>
        <w:t>El 80% de los desechos de pilas se disponen en rellenos sanitarios y que el restante 20%  van a parar a botaderos y otros sitios de disposición final no adecuados”.</w:t>
      </w:r>
    </w:p>
    <w:p w:rsidR="00E7291E" w:rsidRPr="00916E2E" w:rsidRDefault="00E7291E" w:rsidP="00E7291E">
      <w:pPr>
        <w:ind w:left="1080"/>
        <w:contextualSpacing/>
        <w:rPr>
          <w:rFonts w:eastAsia="Calibri"/>
          <w:i/>
        </w:rPr>
      </w:pPr>
    </w:p>
    <w:p w:rsidR="00E7291E" w:rsidRPr="00916E2E" w:rsidRDefault="00E7291E" w:rsidP="00E7291E">
      <w:pPr>
        <w:ind w:left="360"/>
        <w:contextualSpacing/>
        <w:rPr>
          <w:rFonts w:eastAsia="Calibri"/>
          <w:i/>
        </w:rPr>
      </w:pPr>
      <w:r w:rsidRPr="00916E2E">
        <w:rPr>
          <w:rFonts w:eastAsia="Calibri"/>
          <w:i/>
        </w:rPr>
        <w:t xml:space="preserve">De acuerdo con lo anterior, se señala que no es viable desde el punto de vista técnico realizar un seguimiento al cumplimiento de la meta mínima de recolección prevista en unidades y peso, debido a que las cantidades proyectadas en la meta mínima de recolección difieren en tipo, peso y unidades a las entregadas por el usuario final. </w:t>
      </w:r>
    </w:p>
    <w:p w:rsidR="00E7291E" w:rsidRPr="00916E2E" w:rsidRDefault="00E7291E" w:rsidP="00E7291E">
      <w:pPr>
        <w:ind w:left="360"/>
        <w:contextualSpacing/>
        <w:rPr>
          <w:rFonts w:eastAsia="Calibri"/>
          <w:i/>
        </w:rPr>
      </w:pPr>
    </w:p>
    <w:p w:rsidR="00E7291E" w:rsidRPr="00916E2E" w:rsidRDefault="00E7291E" w:rsidP="00E7291E">
      <w:pPr>
        <w:ind w:left="360"/>
        <w:contextualSpacing/>
        <w:rPr>
          <w:rFonts w:eastAsia="Calibri"/>
          <w:i/>
          <w:u w:val="single"/>
        </w:rPr>
      </w:pPr>
      <w:r w:rsidRPr="00916E2E">
        <w:rPr>
          <w:rFonts w:eastAsia="Calibri"/>
          <w:i/>
          <w:u w:val="single"/>
        </w:rPr>
        <w:t xml:space="preserve">Se considera que la verificación del cumplimiento de la meta mínima de Recolección establecida por la Resolución, se realice en las cantidades recolectadas en unidades equivalentes peso, entendiéndose estas como el peso correspondiente a las unidades a recolectar, de tal manera que sea posible  estimar la reducción de impactos negativos al ambiente, generados por el manejo adecuado de los residuos de pilas y/o acumuladores. </w:t>
      </w:r>
    </w:p>
    <w:p w:rsidR="00E7291E" w:rsidRPr="00916E2E" w:rsidRDefault="00E7291E" w:rsidP="00E7291E">
      <w:pPr>
        <w:ind w:left="360"/>
        <w:contextualSpacing/>
        <w:rPr>
          <w:rFonts w:eastAsia="Calibri"/>
          <w:i/>
        </w:rPr>
      </w:pPr>
    </w:p>
    <w:p w:rsidR="00E7291E" w:rsidRDefault="00E7291E" w:rsidP="00E7291E">
      <w:pPr>
        <w:ind w:left="360"/>
        <w:contextualSpacing/>
        <w:rPr>
          <w:rFonts w:eastAsia="Calibri"/>
          <w:i/>
        </w:rPr>
      </w:pPr>
      <w:r w:rsidRPr="00916E2E">
        <w:rPr>
          <w:rFonts w:eastAsia="Calibri"/>
          <w:i/>
        </w:rPr>
        <w:t>A continuación se presenta un ejemplo del proceso de verifi</w:t>
      </w:r>
      <w:r>
        <w:rPr>
          <w:rFonts w:eastAsia="Calibri"/>
          <w:i/>
        </w:rPr>
        <w:t>cación a implementar:</w:t>
      </w:r>
    </w:p>
    <w:p w:rsidR="00E7291E" w:rsidRDefault="00E7291E" w:rsidP="00E7291E">
      <w:pPr>
        <w:ind w:left="360"/>
        <w:contextualSpacing/>
        <w:rPr>
          <w:rFonts w:eastAsia="Calibri"/>
          <w:i/>
        </w:rPr>
      </w:pPr>
    </w:p>
    <w:p w:rsidR="00DE501B" w:rsidRDefault="00DE501B" w:rsidP="00E7291E">
      <w:pPr>
        <w:ind w:left="360"/>
        <w:contextualSpacing/>
        <w:rPr>
          <w:rFonts w:eastAsia="Calibri"/>
          <w:i/>
        </w:rPr>
      </w:pPr>
    </w:p>
    <w:p w:rsidR="00E7291E" w:rsidRPr="00C17D4D" w:rsidRDefault="00E7291E" w:rsidP="00E7291E">
      <w:pPr>
        <w:ind w:left="426"/>
        <w:contextualSpacing/>
        <w:rPr>
          <w:rFonts w:eastAsia="Calibri"/>
          <w:b/>
          <w:i/>
        </w:rPr>
      </w:pPr>
      <w:r w:rsidRPr="00C17D4D">
        <w:rPr>
          <w:rFonts w:eastAsia="Calibri"/>
          <w:b/>
          <w:i/>
        </w:rPr>
        <w:t>EJEMPLO DE APLICACIÓN</w:t>
      </w:r>
    </w:p>
    <w:p w:rsidR="00E7291E" w:rsidRPr="00C17D4D" w:rsidRDefault="00E7291E" w:rsidP="00E7291E">
      <w:pPr>
        <w:ind w:left="426"/>
        <w:contextualSpacing/>
        <w:rPr>
          <w:rFonts w:eastAsia="Calibri"/>
          <w:i/>
        </w:rPr>
      </w:pPr>
    </w:p>
    <w:p w:rsidR="00E7291E" w:rsidRPr="00C17D4D" w:rsidRDefault="00E7291E" w:rsidP="00E7291E">
      <w:pPr>
        <w:ind w:left="426"/>
        <w:contextualSpacing/>
        <w:rPr>
          <w:rFonts w:eastAsia="Calibri"/>
          <w:i/>
        </w:rPr>
      </w:pPr>
      <w:r w:rsidRPr="00C17D4D">
        <w:rPr>
          <w:rFonts w:eastAsia="Calibri"/>
          <w:i/>
        </w:rPr>
        <w:t xml:space="preserve">El Sistema es presentado por un productor que importa desde el año 2009, pilas primarias (partida arancelaria 8506) y pilas cilíndricas Ni-MH (subpartida arancelaria 8507500000). </w:t>
      </w:r>
    </w:p>
    <w:p w:rsidR="00E7291E" w:rsidRPr="00C17D4D" w:rsidRDefault="00E7291E" w:rsidP="00E7291E">
      <w:pPr>
        <w:ind w:left="426"/>
        <w:contextualSpacing/>
        <w:rPr>
          <w:rFonts w:eastAsia="Calibri"/>
          <w:i/>
        </w:rPr>
      </w:pPr>
    </w:p>
    <w:p w:rsidR="00E7291E" w:rsidRPr="00C17D4D" w:rsidRDefault="00E7291E" w:rsidP="00E7291E">
      <w:pPr>
        <w:ind w:left="426"/>
        <w:contextualSpacing/>
        <w:rPr>
          <w:rFonts w:eastAsia="Calibri"/>
          <w:i/>
        </w:rPr>
      </w:pPr>
      <w:r w:rsidRPr="00C17D4D">
        <w:rPr>
          <w:rFonts w:eastAsia="Calibri"/>
          <w:i/>
        </w:rPr>
        <w:t>En cumplimiento de lo establecido en la Resolución 1297 de 2010, este presentó el Sistema en el año 2011 y su primer informe de actualización y avance debe ser presentado a más tardar el 31 de marzo del 2013.</w:t>
      </w:r>
    </w:p>
    <w:p w:rsidR="00E7291E" w:rsidRPr="00C17D4D" w:rsidRDefault="00E7291E" w:rsidP="00E7291E">
      <w:pPr>
        <w:ind w:left="851" w:hanging="425"/>
        <w:contextualSpacing/>
        <w:rPr>
          <w:rFonts w:eastAsia="Calibri"/>
          <w:i/>
        </w:rPr>
      </w:pPr>
    </w:p>
    <w:p w:rsidR="00E7291E" w:rsidRPr="00C17D4D" w:rsidRDefault="00E7291E" w:rsidP="00E7291E">
      <w:pPr>
        <w:numPr>
          <w:ilvl w:val="0"/>
          <w:numId w:val="42"/>
        </w:numPr>
        <w:spacing w:after="200" w:line="276" w:lineRule="auto"/>
        <w:ind w:left="851" w:hanging="425"/>
        <w:contextualSpacing/>
        <w:rPr>
          <w:rFonts w:eastAsia="Calibri"/>
          <w:i/>
        </w:rPr>
      </w:pPr>
      <w:r w:rsidRPr="00C17D4D">
        <w:rPr>
          <w:rFonts w:eastAsia="Calibri"/>
          <w:i/>
        </w:rPr>
        <w:t xml:space="preserve">Proceso de estimación de las cantidades previstas a  recolectar anualmente (meta mínima de recolección del Sistema) por parte del usuario: </w:t>
      </w:r>
    </w:p>
    <w:p w:rsidR="00E7291E" w:rsidRPr="00C17D4D" w:rsidRDefault="00E7291E" w:rsidP="00E7291E">
      <w:pPr>
        <w:ind w:left="1080" w:hanging="654"/>
        <w:contextualSpacing/>
        <w:rPr>
          <w:rFonts w:eastAsia="Calibri"/>
          <w:i/>
        </w:rPr>
      </w:pPr>
    </w:p>
    <w:p w:rsidR="00E7291E" w:rsidRPr="00C17D4D" w:rsidRDefault="00E7291E" w:rsidP="00E7291E">
      <w:pPr>
        <w:numPr>
          <w:ilvl w:val="1"/>
          <w:numId w:val="42"/>
        </w:numPr>
        <w:spacing w:after="200" w:line="276" w:lineRule="auto"/>
        <w:ind w:left="1080" w:hanging="654"/>
        <w:contextualSpacing/>
        <w:rPr>
          <w:rFonts w:eastAsia="Calibri"/>
          <w:i/>
        </w:rPr>
      </w:pPr>
      <w:r w:rsidRPr="00C17D4D">
        <w:rPr>
          <w:rFonts w:eastAsia="Calibri"/>
          <w:i/>
        </w:rPr>
        <w:t>Datos necesarios:</w:t>
      </w:r>
    </w:p>
    <w:p w:rsidR="00E7291E" w:rsidRPr="00C17D4D" w:rsidRDefault="00E7291E" w:rsidP="00E7291E">
      <w:pPr>
        <w:ind w:left="1080" w:hanging="654"/>
        <w:contextualSpacing/>
        <w:rPr>
          <w:rFonts w:eastAsia="Calibri"/>
          <w:i/>
        </w:rPr>
      </w:pPr>
    </w:p>
    <w:p w:rsidR="00E7291E" w:rsidRDefault="00E7291E" w:rsidP="00E7291E">
      <w:pPr>
        <w:numPr>
          <w:ilvl w:val="0"/>
          <w:numId w:val="43"/>
        </w:numPr>
        <w:spacing w:after="200" w:line="276" w:lineRule="auto"/>
        <w:ind w:left="1080" w:hanging="654"/>
        <w:contextualSpacing/>
        <w:rPr>
          <w:rFonts w:eastAsia="Calibri"/>
          <w:i/>
        </w:rPr>
      </w:pPr>
      <w:r w:rsidRPr="00C17D4D">
        <w:rPr>
          <w:rFonts w:eastAsia="Calibri"/>
          <w:i/>
        </w:rPr>
        <w:t>Unidades y peso de pilas y/o acumuladores puestas en el mercado en los años 2009 y 2010.</w:t>
      </w:r>
    </w:p>
    <w:p w:rsidR="00E7291E" w:rsidRPr="00C17D4D" w:rsidRDefault="00E7291E" w:rsidP="00E7291E">
      <w:pPr>
        <w:ind w:left="1080"/>
        <w:contextualSpacing/>
        <w:rPr>
          <w:rFonts w:eastAsia="Calibri"/>
          <w:i/>
        </w:rPr>
      </w:pPr>
    </w:p>
    <w:p w:rsidR="00E7291E" w:rsidRPr="00C17D4D" w:rsidRDefault="00E7291E" w:rsidP="00E7291E">
      <w:pPr>
        <w:numPr>
          <w:ilvl w:val="0"/>
          <w:numId w:val="43"/>
        </w:numPr>
        <w:spacing w:after="200" w:line="276" w:lineRule="auto"/>
        <w:ind w:left="1080" w:hanging="654"/>
        <w:contextualSpacing/>
        <w:rPr>
          <w:rFonts w:eastAsia="Calibri"/>
          <w:i/>
        </w:rPr>
      </w:pPr>
      <w:r w:rsidRPr="00C17D4D">
        <w:rPr>
          <w:rFonts w:eastAsia="Calibri"/>
          <w:i/>
        </w:rPr>
        <w:t>Proyección de unidades a colocar en el mercado durante el año 2011 y 2012.</w:t>
      </w:r>
    </w:p>
    <w:p w:rsidR="00E7291E" w:rsidRPr="00C17D4D" w:rsidRDefault="00E7291E" w:rsidP="00E7291E">
      <w:pPr>
        <w:ind w:left="2520"/>
        <w:contextualSpacing/>
        <w:rPr>
          <w:rFonts w:eastAsia="Calibri"/>
          <w:i/>
        </w:rPr>
      </w:pPr>
    </w:p>
    <w:tbl>
      <w:tblPr>
        <w:tblStyle w:val="Tablaconcuadrcula3"/>
        <w:tblW w:w="9802" w:type="dxa"/>
        <w:jc w:val="center"/>
        <w:tblLayout w:type="fixed"/>
        <w:tblLook w:val="04A0" w:firstRow="1" w:lastRow="0" w:firstColumn="1" w:lastColumn="0" w:noHBand="0" w:noVBand="1"/>
      </w:tblPr>
      <w:tblGrid>
        <w:gridCol w:w="1616"/>
        <w:gridCol w:w="1134"/>
        <w:gridCol w:w="884"/>
        <w:gridCol w:w="1134"/>
        <w:gridCol w:w="992"/>
        <w:gridCol w:w="1134"/>
        <w:gridCol w:w="851"/>
        <w:gridCol w:w="1134"/>
        <w:gridCol w:w="923"/>
      </w:tblGrid>
      <w:tr w:rsidR="00E7291E" w:rsidRPr="00C17D4D" w:rsidTr="00E7291E">
        <w:trPr>
          <w:trHeight w:val="353"/>
          <w:jc w:val="center"/>
        </w:trPr>
        <w:tc>
          <w:tcPr>
            <w:tcW w:w="1616" w:type="dxa"/>
            <w:vMerge w:val="restart"/>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Tipo (partida – subpartida)</w:t>
            </w:r>
          </w:p>
        </w:tc>
        <w:tc>
          <w:tcPr>
            <w:tcW w:w="2018"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2009</w:t>
            </w:r>
          </w:p>
        </w:tc>
        <w:tc>
          <w:tcPr>
            <w:tcW w:w="2126"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2010</w:t>
            </w:r>
          </w:p>
        </w:tc>
        <w:tc>
          <w:tcPr>
            <w:tcW w:w="1985"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2011*</w:t>
            </w:r>
          </w:p>
        </w:tc>
        <w:tc>
          <w:tcPr>
            <w:tcW w:w="2057"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2012*</w:t>
            </w:r>
          </w:p>
        </w:tc>
      </w:tr>
      <w:tr w:rsidR="00E7291E" w:rsidRPr="00C17D4D" w:rsidTr="00E7291E">
        <w:trPr>
          <w:trHeight w:val="199"/>
          <w:jc w:val="center"/>
        </w:trPr>
        <w:tc>
          <w:tcPr>
            <w:tcW w:w="1616" w:type="dxa"/>
            <w:vMerge/>
            <w:vAlign w:val="center"/>
          </w:tcPr>
          <w:p w:rsidR="00E7291E" w:rsidRPr="00C17D4D" w:rsidRDefault="00E7291E" w:rsidP="00E7291E">
            <w:pPr>
              <w:contextualSpacing/>
              <w:jc w:val="center"/>
              <w:rPr>
                <w:rFonts w:eastAsia="Calibri" w:cs="Times New Roman"/>
                <w:b/>
                <w:i/>
              </w:rPr>
            </w:pP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Unidades</w:t>
            </w:r>
          </w:p>
        </w:tc>
        <w:tc>
          <w:tcPr>
            <w:tcW w:w="88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Peso (Kg)</w:t>
            </w: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Unidades</w:t>
            </w:r>
          </w:p>
        </w:tc>
        <w:tc>
          <w:tcPr>
            <w:tcW w:w="99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Peso (Kg)</w:t>
            </w: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Unidades</w:t>
            </w:r>
          </w:p>
        </w:tc>
        <w:tc>
          <w:tcPr>
            <w:tcW w:w="851"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Peso (Kg)</w:t>
            </w: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Unidades</w:t>
            </w:r>
          </w:p>
        </w:tc>
        <w:tc>
          <w:tcPr>
            <w:tcW w:w="923"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Peso (Kg)</w:t>
            </w:r>
          </w:p>
        </w:tc>
      </w:tr>
      <w:tr w:rsidR="00E7291E" w:rsidRPr="00C17D4D" w:rsidTr="00E7291E">
        <w:trPr>
          <w:trHeight w:val="353"/>
          <w:jc w:val="center"/>
        </w:trPr>
        <w:tc>
          <w:tcPr>
            <w:tcW w:w="1616"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8506</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800</w:t>
            </w:r>
          </w:p>
        </w:tc>
        <w:tc>
          <w:tcPr>
            <w:tcW w:w="88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16,8</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1000</w:t>
            </w:r>
          </w:p>
        </w:tc>
        <w:tc>
          <w:tcPr>
            <w:tcW w:w="99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21,0</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1000</w:t>
            </w:r>
          </w:p>
        </w:tc>
        <w:tc>
          <w:tcPr>
            <w:tcW w:w="851"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21,0</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1000</w:t>
            </w:r>
          </w:p>
        </w:tc>
        <w:tc>
          <w:tcPr>
            <w:tcW w:w="923"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21,0</w:t>
            </w:r>
          </w:p>
        </w:tc>
      </w:tr>
      <w:tr w:rsidR="00E7291E" w:rsidRPr="00C17D4D" w:rsidTr="00E7291E">
        <w:trPr>
          <w:trHeight w:val="1744"/>
          <w:jc w:val="center"/>
        </w:trPr>
        <w:tc>
          <w:tcPr>
            <w:tcW w:w="1616"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8507800020 (actualmente  8507500000)</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1000</w:t>
            </w:r>
          </w:p>
        </w:tc>
        <w:tc>
          <w:tcPr>
            <w:tcW w:w="88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27,0</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2000</w:t>
            </w:r>
          </w:p>
        </w:tc>
        <w:tc>
          <w:tcPr>
            <w:tcW w:w="99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54,0</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2100</w:t>
            </w:r>
          </w:p>
        </w:tc>
        <w:tc>
          <w:tcPr>
            <w:tcW w:w="851"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56,7</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2200</w:t>
            </w:r>
          </w:p>
        </w:tc>
        <w:tc>
          <w:tcPr>
            <w:tcW w:w="923"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59,4</w:t>
            </w:r>
          </w:p>
          <w:p w:rsidR="00E7291E" w:rsidRPr="00C17D4D" w:rsidRDefault="00E7291E" w:rsidP="00E7291E">
            <w:pPr>
              <w:contextualSpacing/>
              <w:jc w:val="center"/>
              <w:rPr>
                <w:rFonts w:eastAsia="Calibri" w:cs="Times New Roman"/>
                <w:i/>
              </w:rPr>
            </w:pPr>
          </w:p>
        </w:tc>
      </w:tr>
      <w:tr w:rsidR="00E7291E" w:rsidRPr="00C17D4D" w:rsidTr="00E7291E">
        <w:trPr>
          <w:trHeight w:val="353"/>
          <w:jc w:val="center"/>
        </w:trPr>
        <w:tc>
          <w:tcPr>
            <w:tcW w:w="1616"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Total</w:t>
            </w: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1800</w:t>
            </w:r>
          </w:p>
        </w:tc>
        <w:tc>
          <w:tcPr>
            <w:tcW w:w="88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43,8</w:t>
            </w: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3000</w:t>
            </w:r>
          </w:p>
        </w:tc>
        <w:tc>
          <w:tcPr>
            <w:tcW w:w="99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75,0</w:t>
            </w: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3100</w:t>
            </w:r>
          </w:p>
        </w:tc>
        <w:tc>
          <w:tcPr>
            <w:tcW w:w="851"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77,7</w:t>
            </w: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3200</w:t>
            </w:r>
          </w:p>
        </w:tc>
        <w:tc>
          <w:tcPr>
            <w:tcW w:w="923"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80,4</w:t>
            </w:r>
          </w:p>
        </w:tc>
      </w:tr>
    </w:tbl>
    <w:p w:rsidR="00E7291E" w:rsidRPr="00C17D4D" w:rsidRDefault="00E7291E" w:rsidP="00E7291E">
      <w:pPr>
        <w:ind w:left="-426"/>
        <w:contextualSpacing/>
        <w:rPr>
          <w:rFonts w:eastAsia="Calibri"/>
          <w:i/>
        </w:rPr>
      </w:pPr>
      <w:r w:rsidRPr="00C17D4D">
        <w:rPr>
          <w:rFonts w:eastAsia="Calibri"/>
          <w:i/>
        </w:rPr>
        <w:t xml:space="preserve">Tabla 1: Unidades y peso </w:t>
      </w:r>
    </w:p>
    <w:p w:rsidR="00E7291E" w:rsidRPr="00C17D4D" w:rsidRDefault="00E7291E" w:rsidP="00E7291E">
      <w:pPr>
        <w:ind w:left="426"/>
        <w:contextualSpacing/>
        <w:rPr>
          <w:rFonts w:eastAsia="Calibri"/>
          <w:i/>
        </w:rPr>
      </w:pPr>
      <w:r w:rsidRPr="00C17D4D">
        <w:rPr>
          <w:rFonts w:eastAsia="Calibri"/>
          <w:i/>
        </w:rPr>
        <w:t>*  Proyecciones de ventas</w:t>
      </w:r>
    </w:p>
    <w:p w:rsidR="00E7291E" w:rsidRDefault="00E7291E" w:rsidP="00E7291E">
      <w:pPr>
        <w:spacing w:line="240" w:lineRule="auto"/>
        <w:ind w:left="425"/>
        <w:rPr>
          <w:rFonts w:eastAsia="Calibri"/>
          <w:i/>
        </w:rPr>
      </w:pPr>
    </w:p>
    <w:p w:rsidR="00E7291E" w:rsidRPr="00C17D4D" w:rsidRDefault="00E7291E" w:rsidP="00E7291E">
      <w:pPr>
        <w:ind w:left="426"/>
        <w:rPr>
          <w:rFonts w:eastAsia="Calibri"/>
          <w:i/>
        </w:rPr>
      </w:pPr>
      <w:r w:rsidRPr="00C17D4D">
        <w:rPr>
          <w:rFonts w:eastAsia="Calibri"/>
          <w:i/>
        </w:rPr>
        <w:t xml:space="preserve">El peso de las unidades puestas en el mercado se obtiene de la información técnica de las fichas de los productos y/o del proceso de importación. Para este ejemplo se utilizan dos tipos de pilas AA (Zn-C </w:t>
      </w:r>
      <w:r w:rsidRPr="00C17D4D">
        <w:rPr>
          <w:rFonts w:eastAsia="Calibri"/>
          <w:i/>
        </w:rPr>
        <w:sym w:font="Wingdings" w:char="F0E0"/>
      </w:r>
      <w:r w:rsidRPr="00C17D4D">
        <w:rPr>
          <w:rFonts w:eastAsia="Calibri"/>
          <w:i/>
        </w:rPr>
        <w:t xml:space="preserve"> 21 gramos  y Ni-MH </w:t>
      </w:r>
      <w:r w:rsidRPr="00C17D4D">
        <w:rPr>
          <w:rFonts w:eastAsia="Calibri"/>
          <w:i/>
        </w:rPr>
        <w:sym w:font="Wingdings" w:char="F0E0"/>
      </w:r>
      <w:r w:rsidRPr="00C17D4D">
        <w:rPr>
          <w:rFonts w:eastAsia="Calibri"/>
          <w:i/>
        </w:rPr>
        <w:t xml:space="preserve"> 27 gramos).</w:t>
      </w:r>
    </w:p>
    <w:p w:rsidR="00E7291E" w:rsidRDefault="00E7291E" w:rsidP="00E7291E">
      <w:pPr>
        <w:numPr>
          <w:ilvl w:val="0"/>
          <w:numId w:val="38"/>
        </w:numPr>
        <w:spacing w:after="200" w:line="276" w:lineRule="auto"/>
        <w:ind w:left="1134" w:hanging="708"/>
        <w:contextualSpacing/>
        <w:rPr>
          <w:rFonts w:eastAsia="Calibri"/>
          <w:i/>
        </w:rPr>
      </w:pPr>
      <w:r w:rsidRPr="00C17D4D">
        <w:rPr>
          <w:rFonts w:eastAsia="Calibri"/>
          <w:i/>
        </w:rPr>
        <w:t>Verificación del % de cumplimiento establecido según los literales b, c y d del artículo décimo (10) de la Resolución 1297 de 2010:</w:t>
      </w:r>
    </w:p>
    <w:p w:rsidR="00DE501B" w:rsidRDefault="00DE501B" w:rsidP="00DE501B">
      <w:pPr>
        <w:spacing w:after="200" w:line="276" w:lineRule="auto"/>
        <w:ind w:left="1134"/>
        <w:contextualSpacing/>
        <w:rPr>
          <w:rFonts w:eastAsia="Calibri"/>
          <w:i/>
        </w:rPr>
      </w:pPr>
    </w:p>
    <w:p w:rsidR="00E7291E" w:rsidRPr="00C17D4D" w:rsidRDefault="00E7291E" w:rsidP="00E7291E">
      <w:pPr>
        <w:spacing w:after="200" w:line="276" w:lineRule="auto"/>
        <w:ind w:left="1134"/>
        <w:contextualSpacing/>
        <w:rPr>
          <w:rFonts w:eastAsia="Calibri"/>
          <w:i/>
        </w:rPr>
      </w:pPr>
    </w:p>
    <w:tbl>
      <w:tblPr>
        <w:tblStyle w:val="Tablaconcuadrcula3"/>
        <w:tblW w:w="0" w:type="auto"/>
        <w:jc w:val="center"/>
        <w:tblLook w:val="04A0" w:firstRow="1" w:lastRow="0" w:firstColumn="1" w:lastColumn="0" w:noHBand="0" w:noVBand="1"/>
      </w:tblPr>
      <w:tblGrid>
        <w:gridCol w:w="1881"/>
        <w:gridCol w:w="1691"/>
        <w:gridCol w:w="5059"/>
      </w:tblGrid>
      <w:tr w:rsidR="00E7291E" w:rsidRPr="00C17D4D" w:rsidTr="00E7291E">
        <w:trPr>
          <w:jc w:val="center"/>
        </w:trPr>
        <w:tc>
          <w:tcPr>
            <w:tcW w:w="0" w:type="auto"/>
          </w:tcPr>
          <w:p w:rsidR="00E7291E" w:rsidRPr="00C17D4D" w:rsidRDefault="00E7291E" w:rsidP="00E7291E">
            <w:pPr>
              <w:rPr>
                <w:rFonts w:eastAsia="Calibri" w:cs="Times New Roman"/>
                <w:b/>
                <w:i/>
              </w:rPr>
            </w:pPr>
            <w:r w:rsidRPr="00C17D4D">
              <w:rPr>
                <w:rFonts w:eastAsia="Calibri" w:cs="Times New Roman"/>
                <w:b/>
                <w:i/>
              </w:rPr>
              <w:t>Año de recolección</w:t>
            </w:r>
          </w:p>
        </w:tc>
        <w:tc>
          <w:tcPr>
            <w:tcW w:w="0" w:type="auto"/>
          </w:tcPr>
          <w:p w:rsidR="00E7291E" w:rsidRPr="00C17D4D" w:rsidRDefault="00E7291E" w:rsidP="00E7291E">
            <w:pPr>
              <w:rPr>
                <w:rFonts w:eastAsia="Calibri" w:cs="Times New Roman"/>
                <w:b/>
                <w:i/>
              </w:rPr>
            </w:pPr>
            <w:r w:rsidRPr="00C17D4D">
              <w:rPr>
                <w:rFonts w:eastAsia="Calibri" w:cs="Times New Roman"/>
                <w:b/>
                <w:i/>
              </w:rPr>
              <w:t>% de recolección</w:t>
            </w:r>
          </w:p>
        </w:tc>
        <w:tc>
          <w:tcPr>
            <w:tcW w:w="0" w:type="auto"/>
          </w:tcPr>
          <w:p w:rsidR="00E7291E" w:rsidRPr="00C17D4D" w:rsidRDefault="00E7291E" w:rsidP="00E7291E">
            <w:pPr>
              <w:rPr>
                <w:rFonts w:eastAsia="Calibri" w:cs="Times New Roman"/>
                <w:b/>
                <w:i/>
              </w:rPr>
            </w:pPr>
            <w:r w:rsidRPr="00C17D4D">
              <w:rPr>
                <w:rFonts w:eastAsia="Calibri" w:cs="Times New Roman"/>
                <w:b/>
                <w:i/>
              </w:rPr>
              <w:t xml:space="preserve">Promedio aritmético de unidades puestas en el mercado </w:t>
            </w:r>
          </w:p>
        </w:tc>
      </w:tr>
      <w:tr w:rsidR="00E7291E" w:rsidRPr="00C17D4D" w:rsidTr="00E7291E">
        <w:trPr>
          <w:jc w:val="center"/>
        </w:trPr>
        <w:tc>
          <w:tcPr>
            <w:tcW w:w="0" w:type="auto"/>
          </w:tcPr>
          <w:p w:rsidR="00E7291E" w:rsidRPr="00C17D4D" w:rsidRDefault="00E7291E" w:rsidP="00E7291E">
            <w:pPr>
              <w:rPr>
                <w:rFonts w:eastAsia="Calibri" w:cs="Times New Roman"/>
                <w:i/>
              </w:rPr>
            </w:pPr>
            <w:r w:rsidRPr="00C17D4D">
              <w:rPr>
                <w:rFonts w:eastAsia="Calibri" w:cs="Times New Roman"/>
                <w:i/>
              </w:rPr>
              <w:t>2012</w:t>
            </w:r>
          </w:p>
        </w:tc>
        <w:tc>
          <w:tcPr>
            <w:tcW w:w="0" w:type="auto"/>
          </w:tcPr>
          <w:p w:rsidR="00E7291E" w:rsidRPr="00C17D4D" w:rsidRDefault="00E7291E" w:rsidP="00E7291E">
            <w:pPr>
              <w:rPr>
                <w:rFonts w:eastAsia="Calibri" w:cs="Times New Roman"/>
                <w:i/>
              </w:rPr>
            </w:pPr>
            <w:r w:rsidRPr="00C17D4D">
              <w:rPr>
                <w:rFonts w:eastAsia="Calibri" w:cs="Times New Roman"/>
                <w:i/>
              </w:rPr>
              <w:t>4</w:t>
            </w:r>
          </w:p>
        </w:tc>
        <w:tc>
          <w:tcPr>
            <w:tcW w:w="0" w:type="auto"/>
          </w:tcPr>
          <w:p w:rsidR="00E7291E" w:rsidRPr="00C17D4D" w:rsidRDefault="00E7291E" w:rsidP="00E7291E">
            <w:pPr>
              <w:rPr>
                <w:rFonts w:eastAsia="Calibri" w:cs="Times New Roman"/>
                <w:i/>
              </w:rPr>
            </w:pPr>
            <w:r w:rsidRPr="00C17D4D">
              <w:rPr>
                <w:rFonts w:eastAsia="Calibri" w:cs="Times New Roman"/>
                <w:i/>
              </w:rPr>
              <w:t>2009-2010</w:t>
            </w:r>
          </w:p>
        </w:tc>
      </w:tr>
      <w:tr w:rsidR="00E7291E" w:rsidRPr="00C17D4D" w:rsidTr="00E7291E">
        <w:trPr>
          <w:jc w:val="center"/>
        </w:trPr>
        <w:tc>
          <w:tcPr>
            <w:tcW w:w="0" w:type="auto"/>
          </w:tcPr>
          <w:p w:rsidR="00E7291E" w:rsidRPr="00C17D4D" w:rsidRDefault="00E7291E" w:rsidP="00E7291E">
            <w:pPr>
              <w:rPr>
                <w:rFonts w:eastAsia="Calibri" w:cs="Times New Roman"/>
                <w:i/>
              </w:rPr>
            </w:pPr>
            <w:r w:rsidRPr="00C17D4D">
              <w:rPr>
                <w:rFonts w:eastAsia="Calibri" w:cs="Times New Roman"/>
                <w:i/>
              </w:rPr>
              <w:t>2013</w:t>
            </w:r>
          </w:p>
        </w:tc>
        <w:tc>
          <w:tcPr>
            <w:tcW w:w="0" w:type="auto"/>
          </w:tcPr>
          <w:p w:rsidR="00E7291E" w:rsidRPr="00C17D4D" w:rsidRDefault="00E7291E" w:rsidP="00E7291E">
            <w:pPr>
              <w:rPr>
                <w:rFonts w:eastAsia="Calibri" w:cs="Times New Roman"/>
                <w:i/>
              </w:rPr>
            </w:pPr>
            <w:r w:rsidRPr="00C17D4D">
              <w:rPr>
                <w:rFonts w:eastAsia="Calibri" w:cs="Times New Roman"/>
                <w:i/>
              </w:rPr>
              <w:t>8</w:t>
            </w:r>
          </w:p>
        </w:tc>
        <w:tc>
          <w:tcPr>
            <w:tcW w:w="0" w:type="auto"/>
          </w:tcPr>
          <w:p w:rsidR="00E7291E" w:rsidRPr="00C17D4D" w:rsidRDefault="00E7291E" w:rsidP="00E7291E">
            <w:pPr>
              <w:rPr>
                <w:rFonts w:eastAsia="Calibri" w:cs="Times New Roman"/>
                <w:i/>
              </w:rPr>
            </w:pPr>
            <w:r w:rsidRPr="00C17D4D">
              <w:rPr>
                <w:rFonts w:eastAsia="Calibri" w:cs="Times New Roman"/>
                <w:i/>
              </w:rPr>
              <w:t>2010-2011</w:t>
            </w:r>
          </w:p>
        </w:tc>
      </w:tr>
      <w:tr w:rsidR="00E7291E" w:rsidRPr="00C17D4D" w:rsidTr="00E7291E">
        <w:trPr>
          <w:jc w:val="center"/>
        </w:trPr>
        <w:tc>
          <w:tcPr>
            <w:tcW w:w="0" w:type="auto"/>
          </w:tcPr>
          <w:p w:rsidR="00E7291E" w:rsidRPr="00C17D4D" w:rsidRDefault="00E7291E" w:rsidP="00E7291E">
            <w:pPr>
              <w:rPr>
                <w:rFonts w:eastAsia="Calibri" w:cs="Times New Roman"/>
                <w:i/>
              </w:rPr>
            </w:pPr>
            <w:r w:rsidRPr="00C17D4D">
              <w:rPr>
                <w:rFonts w:eastAsia="Calibri" w:cs="Times New Roman"/>
                <w:i/>
              </w:rPr>
              <w:t>2014</w:t>
            </w:r>
          </w:p>
        </w:tc>
        <w:tc>
          <w:tcPr>
            <w:tcW w:w="0" w:type="auto"/>
          </w:tcPr>
          <w:p w:rsidR="00E7291E" w:rsidRPr="00C17D4D" w:rsidRDefault="00E7291E" w:rsidP="00E7291E">
            <w:pPr>
              <w:rPr>
                <w:rFonts w:eastAsia="Calibri" w:cs="Times New Roman"/>
                <w:i/>
              </w:rPr>
            </w:pPr>
            <w:r w:rsidRPr="00C17D4D">
              <w:rPr>
                <w:rFonts w:eastAsia="Calibri" w:cs="Times New Roman"/>
                <w:i/>
              </w:rPr>
              <w:t>12*</w:t>
            </w:r>
          </w:p>
        </w:tc>
        <w:tc>
          <w:tcPr>
            <w:tcW w:w="0" w:type="auto"/>
          </w:tcPr>
          <w:p w:rsidR="00E7291E" w:rsidRPr="00C17D4D" w:rsidRDefault="00E7291E" w:rsidP="00E7291E">
            <w:pPr>
              <w:rPr>
                <w:rFonts w:eastAsia="Calibri" w:cs="Times New Roman"/>
                <w:i/>
              </w:rPr>
            </w:pPr>
            <w:r w:rsidRPr="00C17D4D">
              <w:rPr>
                <w:rFonts w:eastAsia="Calibri" w:cs="Times New Roman"/>
                <w:i/>
              </w:rPr>
              <w:t>2011-2012</w:t>
            </w:r>
          </w:p>
        </w:tc>
      </w:tr>
    </w:tbl>
    <w:p w:rsidR="00E7291E" w:rsidRPr="008F0FBE" w:rsidRDefault="00E7291E" w:rsidP="00E7291E">
      <w:pPr>
        <w:ind w:left="142"/>
        <w:contextualSpacing/>
        <w:rPr>
          <w:rFonts w:eastAsia="Calibri"/>
          <w:i/>
          <w:sz w:val="20"/>
          <w:szCs w:val="20"/>
        </w:rPr>
      </w:pPr>
      <w:r w:rsidRPr="008F0FBE">
        <w:rPr>
          <w:rFonts w:eastAsia="Calibri"/>
          <w:i/>
          <w:sz w:val="20"/>
          <w:szCs w:val="20"/>
        </w:rPr>
        <w:t xml:space="preserve">Tabla 2: Porcentajes  de recolección </w:t>
      </w:r>
    </w:p>
    <w:p w:rsidR="00E7291E" w:rsidRPr="008F0FBE" w:rsidRDefault="00E7291E" w:rsidP="00E7291E">
      <w:pPr>
        <w:ind w:left="142"/>
        <w:contextualSpacing/>
        <w:rPr>
          <w:rFonts w:eastAsia="Calibri"/>
          <w:i/>
          <w:sz w:val="20"/>
          <w:szCs w:val="20"/>
        </w:rPr>
      </w:pPr>
      <w:r w:rsidRPr="008F0FBE">
        <w:rPr>
          <w:rFonts w:eastAsia="Calibri"/>
          <w:i/>
          <w:sz w:val="20"/>
          <w:szCs w:val="20"/>
        </w:rPr>
        <w:t xml:space="preserve">*Hasta completar el 45% incrementado en 5% a partir del año  2017 </w:t>
      </w:r>
    </w:p>
    <w:p w:rsidR="00E7291E" w:rsidRPr="00C17D4D" w:rsidRDefault="00E7291E" w:rsidP="00E7291E">
      <w:pPr>
        <w:ind w:left="1080"/>
        <w:contextualSpacing/>
        <w:rPr>
          <w:rFonts w:eastAsia="Calibri"/>
          <w:i/>
        </w:rPr>
      </w:pPr>
    </w:p>
    <w:p w:rsidR="00E7291E" w:rsidRDefault="00E7291E" w:rsidP="00E7291E">
      <w:pPr>
        <w:numPr>
          <w:ilvl w:val="0"/>
          <w:numId w:val="38"/>
        </w:numPr>
        <w:spacing w:after="200" w:line="276" w:lineRule="auto"/>
        <w:ind w:left="1134" w:hanging="708"/>
        <w:contextualSpacing/>
        <w:rPr>
          <w:rFonts w:eastAsia="Calibri"/>
          <w:i/>
        </w:rPr>
      </w:pPr>
      <w:r w:rsidRPr="00C17D4D">
        <w:rPr>
          <w:rFonts w:eastAsia="Calibri"/>
          <w:i/>
        </w:rPr>
        <w:t>Cálculos</w:t>
      </w:r>
    </w:p>
    <w:p w:rsidR="00E7291E" w:rsidRPr="00C17D4D" w:rsidRDefault="00E7291E" w:rsidP="00E7291E">
      <w:pPr>
        <w:ind w:left="1134"/>
        <w:contextualSpacing/>
        <w:rPr>
          <w:rFonts w:eastAsia="Calibri"/>
          <w:i/>
        </w:rPr>
      </w:pPr>
    </w:p>
    <w:tbl>
      <w:tblPr>
        <w:tblStyle w:val="Tablaconcuadrcula3"/>
        <w:tblW w:w="10173" w:type="dxa"/>
        <w:jc w:val="center"/>
        <w:tblInd w:w="216" w:type="dxa"/>
        <w:tblLayout w:type="fixed"/>
        <w:tblLook w:val="04A0" w:firstRow="1" w:lastRow="0" w:firstColumn="1" w:lastColumn="0" w:noHBand="0" w:noVBand="1"/>
      </w:tblPr>
      <w:tblGrid>
        <w:gridCol w:w="1259"/>
        <w:gridCol w:w="1110"/>
        <w:gridCol w:w="732"/>
        <w:gridCol w:w="1134"/>
        <w:gridCol w:w="851"/>
        <w:gridCol w:w="1592"/>
        <w:gridCol w:w="1078"/>
        <w:gridCol w:w="1417"/>
        <w:gridCol w:w="1000"/>
      </w:tblGrid>
      <w:tr w:rsidR="00E7291E" w:rsidRPr="00C17D4D" w:rsidTr="00E7291E">
        <w:trPr>
          <w:trHeight w:val="353"/>
          <w:jc w:val="center"/>
        </w:trPr>
        <w:tc>
          <w:tcPr>
            <w:tcW w:w="10173" w:type="dxa"/>
            <w:gridSpan w:val="9"/>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Meta mínima año 2012</w:t>
            </w:r>
          </w:p>
        </w:tc>
      </w:tr>
      <w:tr w:rsidR="00E7291E" w:rsidRPr="00C17D4D" w:rsidTr="00E7291E">
        <w:trPr>
          <w:trHeight w:val="353"/>
          <w:jc w:val="center"/>
        </w:trPr>
        <w:tc>
          <w:tcPr>
            <w:tcW w:w="1259" w:type="dxa"/>
            <w:vMerge w:val="restart"/>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Tipo (partida – subpartida)</w:t>
            </w:r>
          </w:p>
        </w:tc>
        <w:tc>
          <w:tcPr>
            <w:tcW w:w="1842"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2009</w:t>
            </w:r>
          </w:p>
        </w:tc>
        <w:tc>
          <w:tcPr>
            <w:tcW w:w="1985"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2010</w:t>
            </w:r>
          </w:p>
        </w:tc>
        <w:tc>
          <w:tcPr>
            <w:tcW w:w="2670"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Promedio (2009-2010)</w:t>
            </w:r>
          </w:p>
        </w:tc>
        <w:tc>
          <w:tcPr>
            <w:tcW w:w="2417"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Meta mínima (4%)</w:t>
            </w:r>
          </w:p>
        </w:tc>
      </w:tr>
      <w:tr w:rsidR="00E7291E" w:rsidRPr="00C17D4D" w:rsidTr="00E7291E">
        <w:trPr>
          <w:trHeight w:val="199"/>
          <w:jc w:val="center"/>
        </w:trPr>
        <w:tc>
          <w:tcPr>
            <w:tcW w:w="1259" w:type="dxa"/>
            <w:vMerge/>
            <w:vAlign w:val="center"/>
          </w:tcPr>
          <w:p w:rsidR="00E7291E" w:rsidRPr="00C17D4D" w:rsidRDefault="00E7291E" w:rsidP="00E7291E">
            <w:pPr>
              <w:contextualSpacing/>
              <w:jc w:val="center"/>
              <w:rPr>
                <w:rFonts w:eastAsia="Calibri" w:cs="Times New Roman"/>
                <w:b/>
                <w:i/>
              </w:rPr>
            </w:pPr>
          </w:p>
        </w:tc>
        <w:tc>
          <w:tcPr>
            <w:tcW w:w="1110"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w:t>
            </w:r>
            <w:r>
              <w:rPr>
                <w:rFonts w:eastAsia="Calibri" w:cs="Times New Roman"/>
                <w:b/>
                <w:i/>
              </w:rPr>
              <w:t>des reales</w:t>
            </w:r>
          </w:p>
        </w:tc>
        <w:tc>
          <w:tcPr>
            <w:tcW w:w="73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 xml:space="preserve">Peso </w:t>
            </w:r>
            <w:r>
              <w:rPr>
                <w:rFonts w:eastAsia="Calibri" w:cs="Times New Roman"/>
                <w:b/>
                <w:i/>
              </w:rPr>
              <w:t xml:space="preserve">Neto </w:t>
            </w:r>
            <w:r w:rsidRPr="00C17D4D">
              <w:rPr>
                <w:rFonts w:eastAsia="Calibri" w:cs="Times New Roman"/>
                <w:b/>
                <w:i/>
              </w:rPr>
              <w:t>(Kg)</w:t>
            </w: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Unidades</w:t>
            </w:r>
            <w:r>
              <w:rPr>
                <w:rFonts w:eastAsia="Calibri" w:cs="Times New Roman"/>
                <w:b/>
                <w:i/>
              </w:rPr>
              <w:t xml:space="preserve"> reales</w:t>
            </w:r>
          </w:p>
        </w:tc>
        <w:tc>
          <w:tcPr>
            <w:tcW w:w="851"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Peso</w:t>
            </w:r>
            <w:r>
              <w:rPr>
                <w:rFonts w:eastAsia="Calibri" w:cs="Times New Roman"/>
                <w:b/>
                <w:i/>
              </w:rPr>
              <w:t xml:space="preserve"> Neto</w:t>
            </w:r>
            <w:r w:rsidRPr="00C17D4D">
              <w:rPr>
                <w:rFonts w:eastAsia="Calibri" w:cs="Times New Roman"/>
                <w:b/>
                <w:i/>
              </w:rPr>
              <w:t xml:space="preserve"> (Kg)</w:t>
            </w:r>
          </w:p>
        </w:tc>
        <w:tc>
          <w:tcPr>
            <w:tcW w:w="159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Unidades</w:t>
            </w:r>
          </w:p>
        </w:tc>
        <w:tc>
          <w:tcPr>
            <w:tcW w:w="1078"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 xml:space="preserve">Peso </w:t>
            </w:r>
            <w:r>
              <w:rPr>
                <w:rFonts w:eastAsia="Calibri" w:cs="Times New Roman"/>
                <w:b/>
                <w:i/>
              </w:rPr>
              <w:t>Promedio</w:t>
            </w:r>
            <w:r w:rsidRPr="00C17D4D">
              <w:rPr>
                <w:rFonts w:eastAsia="Calibri" w:cs="Times New Roman"/>
                <w:b/>
                <w:i/>
              </w:rPr>
              <w:t>(Kg)</w:t>
            </w:r>
          </w:p>
        </w:tc>
        <w:tc>
          <w:tcPr>
            <w:tcW w:w="1417"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w:t>
            </w:r>
            <w:r>
              <w:rPr>
                <w:rFonts w:eastAsia="Calibri" w:cs="Times New Roman"/>
                <w:b/>
                <w:i/>
              </w:rPr>
              <w:t>s equivalentes</w:t>
            </w:r>
          </w:p>
        </w:tc>
        <w:tc>
          <w:tcPr>
            <w:tcW w:w="1000"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Peso (Kg)</w:t>
            </w:r>
          </w:p>
        </w:tc>
      </w:tr>
      <w:tr w:rsidR="00E7291E" w:rsidRPr="00C17D4D" w:rsidTr="00E7291E">
        <w:trPr>
          <w:trHeight w:val="353"/>
          <w:jc w:val="center"/>
        </w:trPr>
        <w:tc>
          <w:tcPr>
            <w:tcW w:w="1259"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8506</w:t>
            </w:r>
          </w:p>
        </w:tc>
        <w:tc>
          <w:tcPr>
            <w:tcW w:w="1110"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800</w:t>
            </w:r>
          </w:p>
        </w:tc>
        <w:tc>
          <w:tcPr>
            <w:tcW w:w="73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16,8</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1000</w:t>
            </w:r>
          </w:p>
        </w:tc>
        <w:tc>
          <w:tcPr>
            <w:tcW w:w="851"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21,0</w:t>
            </w:r>
          </w:p>
        </w:tc>
        <w:tc>
          <w:tcPr>
            <w:tcW w:w="159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 xml:space="preserve">(800 + 1000)/2 = </w:t>
            </w:r>
            <w:r w:rsidRPr="00C17D4D">
              <w:rPr>
                <w:rFonts w:eastAsia="Calibri" w:cs="Times New Roman"/>
                <w:b/>
                <w:i/>
              </w:rPr>
              <w:t>900</w:t>
            </w:r>
          </w:p>
        </w:tc>
        <w:tc>
          <w:tcPr>
            <w:tcW w:w="1078"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(16,8 + 21,0)/2 = 18,9</w:t>
            </w:r>
          </w:p>
        </w:tc>
        <w:tc>
          <w:tcPr>
            <w:tcW w:w="1417" w:type="dxa"/>
            <w:vAlign w:val="center"/>
          </w:tcPr>
          <w:p w:rsidR="00E7291E" w:rsidRPr="00C17D4D" w:rsidRDefault="00DE501B" w:rsidP="00E7291E">
            <w:pPr>
              <w:contextualSpacing/>
              <w:jc w:val="center"/>
              <w:rPr>
                <w:rFonts w:eastAsia="Calibri" w:cs="Times New Roman"/>
                <w:i/>
              </w:rPr>
            </w:pPr>
            <w:r>
              <w:rPr>
                <w:rFonts w:eastAsia="Calibri" w:cs="Times New Roman"/>
                <w:i/>
              </w:rPr>
              <w:t>4%</w:t>
            </w:r>
            <w:r w:rsidR="00E7291E" w:rsidRPr="00C17D4D">
              <w:rPr>
                <w:rFonts w:eastAsia="Calibri" w:cs="Times New Roman"/>
                <w:i/>
              </w:rPr>
              <w:t xml:space="preserve"> * 900 = </w:t>
            </w:r>
            <w:r w:rsidR="00E7291E" w:rsidRPr="00C17D4D">
              <w:rPr>
                <w:rFonts w:eastAsia="Calibri" w:cs="Times New Roman"/>
                <w:b/>
                <w:i/>
              </w:rPr>
              <w:t>36</w:t>
            </w:r>
          </w:p>
        </w:tc>
        <w:tc>
          <w:tcPr>
            <w:tcW w:w="1000" w:type="dxa"/>
            <w:vAlign w:val="center"/>
          </w:tcPr>
          <w:p w:rsidR="00E7291E" w:rsidRPr="00C17D4D" w:rsidRDefault="00DE501B" w:rsidP="00E7291E">
            <w:pPr>
              <w:contextualSpacing/>
              <w:jc w:val="center"/>
              <w:rPr>
                <w:rFonts w:eastAsia="Calibri" w:cs="Times New Roman"/>
                <w:i/>
              </w:rPr>
            </w:pPr>
            <w:r>
              <w:rPr>
                <w:rFonts w:eastAsia="Calibri" w:cs="Times New Roman"/>
                <w:i/>
              </w:rPr>
              <w:t>4%</w:t>
            </w:r>
            <w:r w:rsidR="00E7291E" w:rsidRPr="00C17D4D">
              <w:rPr>
                <w:rFonts w:eastAsia="Calibri" w:cs="Times New Roman"/>
                <w:i/>
              </w:rPr>
              <w:t xml:space="preserve"> * 18,9 = </w:t>
            </w:r>
            <w:r w:rsidR="00E7291E" w:rsidRPr="00C17D4D">
              <w:rPr>
                <w:rFonts w:eastAsia="Calibri" w:cs="Times New Roman"/>
                <w:b/>
                <w:i/>
              </w:rPr>
              <w:t>0,756</w:t>
            </w:r>
          </w:p>
        </w:tc>
      </w:tr>
      <w:tr w:rsidR="00E7291E" w:rsidRPr="00C17D4D" w:rsidTr="00E7291E">
        <w:trPr>
          <w:trHeight w:val="1744"/>
          <w:jc w:val="center"/>
        </w:trPr>
        <w:tc>
          <w:tcPr>
            <w:tcW w:w="1259"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8507800020 (actualmente  8507500000)</w:t>
            </w:r>
          </w:p>
        </w:tc>
        <w:tc>
          <w:tcPr>
            <w:tcW w:w="1110"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1000</w:t>
            </w:r>
          </w:p>
        </w:tc>
        <w:tc>
          <w:tcPr>
            <w:tcW w:w="73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27,0</w:t>
            </w:r>
          </w:p>
        </w:tc>
        <w:tc>
          <w:tcPr>
            <w:tcW w:w="1134"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2000</w:t>
            </w:r>
          </w:p>
        </w:tc>
        <w:tc>
          <w:tcPr>
            <w:tcW w:w="851"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54,0</w:t>
            </w:r>
          </w:p>
        </w:tc>
        <w:tc>
          <w:tcPr>
            <w:tcW w:w="159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 xml:space="preserve">(2000 + 1000)/2 = </w:t>
            </w:r>
            <w:r w:rsidRPr="00C17D4D">
              <w:rPr>
                <w:rFonts w:eastAsia="Calibri" w:cs="Times New Roman"/>
                <w:b/>
                <w:i/>
              </w:rPr>
              <w:t>1500</w:t>
            </w:r>
          </w:p>
        </w:tc>
        <w:tc>
          <w:tcPr>
            <w:tcW w:w="1078"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(27,0 + 54,0)/2 = 40,5</w:t>
            </w:r>
          </w:p>
        </w:tc>
        <w:tc>
          <w:tcPr>
            <w:tcW w:w="1417" w:type="dxa"/>
            <w:vAlign w:val="center"/>
          </w:tcPr>
          <w:p w:rsidR="00E7291E" w:rsidRPr="00C17D4D" w:rsidRDefault="00DE501B" w:rsidP="00E7291E">
            <w:pPr>
              <w:contextualSpacing/>
              <w:jc w:val="center"/>
              <w:rPr>
                <w:rFonts w:eastAsia="Calibri" w:cs="Times New Roman"/>
                <w:i/>
              </w:rPr>
            </w:pPr>
            <w:r>
              <w:rPr>
                <w:rFonts w:eastAsia="Calibri" w:cs="Times New Roman"/>
                <w:i/>
              </w:rPr>
              <w:t>4%</w:t>
            </w:r>
            <w:r w:rsidR="00E7291E" w:rsidRPr="00C17D4D">
              <w:rPr>
                <w:rFonts w:eastAsia="Calibri" w:cs="Times New Roman"/>
                <w:i/>
              </w:rPr>
              <w:t xml:space="preserve"> * 1500 = </w:t>
            </w:r>
            <w:r w:rsidR="00E7291E" w:rsidRPr="00C17D4D">
              <w:rPr>
                <w:rFonts w:eastAsia="Calibri" w:cs="Times New Roman"/>
                <w:b/>
                <w:i/>
              </w:rPr>
              <w:t>60</w:t>
            </w:r>
          </w:p>
        </w:tc>
        <w:tc>
          <w:tcPr>
            <w:tcW w:w="1000" w:type="dxa"/>
            <w:vAlign w:val="center"/>
          </w:tcPr>
          <w:p w:rsidR="00E7291E" w:rsidRPr="00C17D4D" w:rsidRDefault="00DE501B" w:rsidP="00E7291E">
            <w:pPr>
              <w:contextualSpacing/>
              <w:jc w:val="center"/>
              <w:rPr>
                <w:rFonts w:eastAsia="Calibri" w:cs="Times New Roman"/>
                <w:i/>
              </w:rPr>
            </w:pPr>
            <w:r>
              <w:rPr>
                <w:rFonts w:eastAsia="Calibri" w:cs="Times New Roman"/>
                <w:i/>
              </w:rPr>
              <w:t>4%</w:t>
            </w:r>
            <w:r w:rsidR="00E7291E" w:rsidRPr="00C17D4D">
              <w:rPr>
                <w:rFonts w:eastAsia="Calibri" w:cs="Times New Roman"/>
                <w:i/>
              </w:rPr>
              <w:t xml:space="preserve"> * 40,5 = </w:t>
            </w:r>
            <w:r w:rsidR="00E7291E" w:rsidRPr="00C17D4D">
              <w:rPr>
                <w:rFonts w:eastAsia="Calibri" w:cs="Times New Roman"/>
                <w:b/>
                <w:i/>
              </w:rPr>
              <w:t>1,620</w:t>
            </w:r>
          </w:p>
        </w:tc>
      </w:tr>
      <w:tr w:rsidR="00E7291E" w:rsidRPr="00C17D4D" w:rsidTr="00E7291E">
        <w:trPr>
          <w:trHeight w:val="353"/>
          <w:jc w:val="center"/>
        </w:trPr>
        <w:tc>
          <w:tcPr>
            <w:tcW w:w="1259"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Total</w:t>
            </w:r>
          </w:p>
        </w:tc>
        <w:tc>
          <w:tcPr>
            <w:tcW w:w="1110"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1800</w:t>
            </w:r>
          </w:p>
        </w:tc>
        <w:tc>
          <w:tcPr>
            <w:tcW w:w="73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43,8</w:t>
            </w:r>
          </w:p>
        </w:tc>
        <w:tc>
          <w:tcPr>
            <w:tcW w:w="1134"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3000</w:t>
            </w:r>
          </w:p>
        </w:tc>
        <w:tc>
          <w:tcPr>
            <w:tcW w:w="851"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75,0</w:t>
            </w:r>
          </w:p>
        </w:tc>
        <w:tc>
          <w:tcPr>
            <w:tcW w:w="159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2400</w:t>
            </w:r>
          </w:p>
        </w:tc>
        <w:tc>
          <w:tcPr>
            <w:tcW w:w="1078"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59,4</w:t>
            </w:r>
          </w:p>
        </w:tc>
        <w:tc>
          <w:tcPr>
            <w:tcW w:w="1417" w:type="dxa"/>
            <w:vAlign w:val="center"/>
          </w:tcPr>
          <w:p w:rsidR="00E7291E" w:rsidRPr="00C17D4D" w:rsidRDefault="00E7291E" w:rsidP="00E7291E">
            <w:pPr>
              <w:contextualSpacing/>
              <w:jc w:val="center"/>
              <w:rPr>
                <w:rFonts w:eastAsia="Calibri" w:cs="Times New Roman"/>
                <w:b/>
                <w:i/>
                <w:u w:val="single"/>
              </w:rPr>
            </w:pPr>
            <w:r w:rsidRPr="00C17D4D">
              <w:rPr>
                <w:rFonts w:eastAsia="Calibri" w:cs="Times New Roman"/>
                <w:b/>
                <w:i/>
                <w:u w:val="single"/>
              </w:rPr>
              <w:t>96</w:t>
            </w:r>
          </w:p>
        </w:tc>
        <w:tc>
          <w:tcPr>
            <w:tcW w:w="1000" w:type="dxa"/>
            <w:vAlign w:val="center"/>
          </w:tcPr>
          <w:p w:rsidR="00E7291E" w:rsidRPr="00C17D4D" w:rsidRDefault="00E7291E" w:rsidP="00E7291E">
            <w:pPr>
              <w:contextualSpacing/>
              <w:jc w:val="center"/>
              <w:rPr>
                <w:rFonts w:eastAsia="Calibri" w:cs="Times New Roman"/>
                <w:b/>
                <w:i/>
                <w:u w:val="single"/>
              </w:rPr>
            </w:pPr>
            <w:r w:rsidRPr="00C17D4D">
              <w:rPr>
                <w:rFonts w:eastAsia="Calibri" w:cs="Times New Roman"/>
                <w:b/>
                <w:i/>
                <w:u w:val="single"/>
              </w:rPr>
              <w:t>2,376</w:t>
            </w:r>
          </w:p>
        </w:tc>
      </w:tr>
    </w:tbl>
    <w:p w:rsidR="00E7291E" w:rsidRPr="008F0FBE" w:rsidRDefault="00E7291E" w:rsidP="00E7291E">
      <w:pPr>
        <w:ind w:left="-567"/>
        <w:contextualSpacing/>
        <w:rPr>
          <w:rFonts w:eastAsia="Calibri"/>
          <w:i/>
          <w:sz w:val="20"/>
          <w:szCs w:val="20"/>
        </w:rPr>
      </w:pPr>
      <w:r w:rsidRPr="008F0FBE">
        <w:rPr>
          <w:rFonts w:eastAsia="Calibri"/>
          <w:i/>
          <w:sz w:val="20"/>
          <w:szCs w:val="20"/>
        </w:rPr>
        <w:t>Tabla 3: Metas de recolección</w:t>
      </w:r>
    </w:p>
    <w:p w:rsidR="00E7291E" w:rsidRPr="00C17D4D" w:rsidRDefault="00E7291E" w:rsidP="00E7291E">
      <w:pPr>
        <w:ind w:left="426"/>
        <w:contextualSpacing/>
        <w:rPr>
          <w:rFonts w:eastAsia="Calibri"/>
          <w:i/>
        </w:rPr>
      </w:pPr>
    </w:p>
    <w:p w:rsidR="00E7291E" w:rsidRPr="00C17D4D" w:rsidRDefault="00E7291E" w:rsidP="00E7291E">
      <w:pPr>
        <w:ind w:left="426"/>
        <w:contextualSpacing/>
        <w:rPr>
          <w:rFonts w:eastAsia="Calibri"/>
          <w:i/>
        </w:rPr>
      </w:pPr>
      <w:r w:rsidRPr="00C17D4D">
        <w:rPr>
          <w:rFonts w:eastAsia="Calibri"/>
          <w:i/>
        </w:rPr>
        <w:t>Para  la estimación de la meta mínima de los años 2013 y 2014, se realizan los cálculos de manera similar a lo expuesto anteriormente, empleando el porcentaje respectivo de acuerdo a la tabla 2.</w:t>
      </w:r>
    </w:p>
    <w:p w:rsidR="00E7291E" w:rsidRDefault="00E7291E" w:rsidP="00E7291E">
      <w:pPr>
        <w:ind w:left="426"/>
        <w:contextualSpacing/>
        <w:rPr>
          <w:rFonts w:eastAsia="Calibri"/>
          <w:i/>
        </w:rPr>
      </w:pPr>
    </w:p>
    <w:tbl>
      <w:tblPr>
        <w:tblStyle w:val="Tablaconcuadrcula3"/>
        <w:tblW w:w="9239" w:type="dxa"/>
        <w:jc w:val="center"/>
        <w:tblInd w:w="216" w:type="dxa"/>
        <w:tblLayout w:type="fixed"/>
        <w:tblLook w:val="04A0" w:firstRow="1" w:lastRow="0" w:firstColumn="1" w:lastColumn="0" w:noHBand="0" w:noVBand="1"/>
      </w:tblPr>
      <w:tblGrid>
        <w:gridCol w:w="1761"/>
        <w:gridCol w:w="1417"/>
        <w:gridCol w:w="992"/>
        <w:gridCol w:w="1418"/>
        <w:gridCol w:w="992"/>
        <w:gridCol w:w="1701"/>
        <w:gridCol w:w="958"/>
      </w:tblGrid>
      <w:tr w:rsidR="00E7291E" w:rsidRPr="00C17D4D" w:rsidTr="00E7291E">
        <w:trPr>
          <w:trHeight w:val="455"/>
          <w:tblHeader/>
          <w:jc w:val="center"/>
        </w:trPr>
        <w:tc>
          <w:tcPr>
            <w:tcW w:w="1761" w:type="dxa"/>
            <w:vMerge w:val="restart"/>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Tipo (partida – subpartida)</w:t>
            </w:r>
          </w:p>
        </w:tc>
        <w:tc>
          <w:tcPr>
            <w:tcW w:w="2409"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2012</w:t>
            </w:r>
          </w:p>
        </w:tc>
        <w:tc>
          <w:tcPr>
            <w:tcW w:w="2410"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2013</w:t>
            </w:r>
          </w:p>
        </w:tc>
        <w:tc>
          <w:tcPr>
            <w:tcW w:w="2659" w:type="dxa"/>
            <w:gridSpan w:val="2"/>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2014</w:t>
            </w:r>
          </w:p>
        </w:tc>
      </w:tr>
      <w:tr w:rsidR="00E7291E" w:rsidRPr="00C17D4D" w:rsidTr="00E7291E">
        <w:trPr>
          <w:trHeight w:val="434"/>
          <w:tblHeader/>
          <w:jc w:val="center"/>
        </w:trPr>
        <w:tc>
          <w:tcPr>
            <w:tcW w:w="1761" w:type="dxa"/>
            <w:vMerge/>
            <w:vAlign w:val="center"/>
          </w:tcPr>
          <w:p w:rsidR="00E7291E" w:rsidRPr="00C17D4D" w:rsidRDefault="00E7291E" w:rsidP="00E7291E">
            <w:pPr>
              <w:contextualSpacing/>
              <w:jc w:val="center"/>
              <w:rPr>
                <w:rFonts w:eastAsia="Calibri" w:cs="Times New Roman"/>
                <w:b/>
                <w:i/>
              </w:rPr>
            </w:pPr>
          </w:p>
        </w:tc>
        <w:tc>
          <w:tcPr>
            <w:tcW w:w="1417"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Unidades</w:t>
            </w:r>
            <w:r>
              <w:rPr>
                <w:rFonts w:eastAsia="Calibri" w:cs="Times New Roman"/>
                <w:b/>
                <w:i/>
              </w:rPr>
              <w:t xml:space="preserve"> equivalentes</w:t>
            </w:r>
          </w:p>
        </w:tc>
        <w:tc>
          <w:tcPr>
            <w:tcW w:w="99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Peso (Kg)</w:t>
            </w:r>
          </w:p>
        </w:tc>
        <w:tc>
          <w:tcPr>
            <w:tcW w:w="1418"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Unidades</w:t>
            </w:r>
            <w:r>
              <w:rPr>
                <w:rFonts w:eastAsia="Calibri" w:cs="Times New Roman"/>
                <w:b/>
                <w:i/>
              </w:rPr>
              <w:t xml:space="preserve"> equivalentes</w:t>
            </w:r>
          </w:p>
        </w:tc>
        <w:tc>
          <w:tcPr>
            <w:tcW w:w="99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Peso (Kg)</w:t>
            </w:r>
          </w:p>
        </w:tc>
        <w:tc>
          <w:tcPr>
            <w:tcW w:w="1701"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Unidades</w:t>
            </w:r>
            <w:r>
              <w:rPr>
                <w:rFonts w:eastAsia="Calibri" w:cs="Times New Roman"/>
                <w:b/>
                <w:i/>
              </w:rPr>
              <w:t xml:space="preserve"> equivalentes</w:t>
            </w:r>
          </w:p>
        </w:tc>
        <w:tc>
          <w:tcPr>
            <w:tcW w:w="958"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Peso (Kg)</w:t>
            </w:r>
          </w:p>
        </w:tc>
      </w:tr>
      <w:tr w:rsidR="00E7291E" w:rsidRPr="00C17D4D" w:rsidTr="00E7291E">
        <w:trPr>
          <w:trHeight w:val="992"/>
          <w:jc w:val="center"/>
        </w:trPr>
        <w:tc>
          <w:tcPr>
            <w:tcW w:w="1761"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8506</w:t>
            </w:r>
          </w:p>
        </w:tc>
        <w:tc>
          <w:tcPr>
            <w:tcW w:w="1417"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36</w:t>
            </w:r>
          </w:p>
        </w:tc>
        <w:tc>
          <w:tcPr>
            <w:tcW w:w="99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0,756</w:t>
            </w:r>
          </w:p>
        </w:tc>
        <w:tc>
          <w:tcPr>
            <w:tcW w:w="1418"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80</w:t>
            </w:r>
          </w:p>
        </w:tc>
        <w:tc>
          <w:tcPr>
            <w:tcW w:w="99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1,680</w:t>
            </w:r>
          </w:p>
        </w:tc>
        <w:tc>
          <w:tcPr>
            <w:tcW w:w="1701"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120</w:t>
            </w:r>
          </w:p>
        </w:tc>
        <w:tc>
          <w:tcPr>
            <w:tcW w:w="958"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2,520</w:t>
            </w:r>
          </w:p>
        </w:tc>
      </w:tr>
      <w:tr w:rsidR="00E7291E" w:rsidRPr="00C17D4D" w:rsidTr="00E7291E">
        <w:trPr>
          <w:trHeight w:val="978"/>
          <w:jc w:val="center"/>
        </w:trPr>
        <w:tc>
          <w:tcPr>
            <w:tcW w:w="1761"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8507800020 (actualmente  8507500000)</w:t>
            </w:r>
          </w:p>
        </w:tc>
        <w:tc>
          <w:tcPr>
            <w:tcW w:w="1417"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60</w:t>
            </w:r>
          </w:p>
        </w:tc>
        <w:tc>
          <w:tcPr>
            <w:tcW w:w="99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1,620</w:t>
            </w:r>
          </w:p>
        </w:tc>
        <w:tc>
          <w:tcPr>
            <w:tcW w:w="1418"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164</w:t>
            </w:r>
          </w:p>
        </w:tc>
        <w:tc>
          <w:tcPr>
            <w:tcW w:w="992"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4,428</w:t>
            </w:r>
          </w:p>
        </w:tc>
        <w:tc>
          <w:tcPr>
            <w:tcW w:w="1701"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258</w:t>
            </w:r>
          </w:p>
        </w:tc>
        <w:tc>
          <w:tcPr>
            <w:tcW w:w="958" w:type="dxa"/>
            <w:vAlign w:val="center"/>
          </w:tcPr>
          <w:p w:rsidR="00E7291E" w:rsidRPr="00C17D4D" w:rsidRDefault="00E7291E" w:rsidP="00E7291E">
            <w:pPr>
              <w:contextualSpacing/>
              <w:jc w:val="center"/>
              <w:rPr>
                <w:rFonts w:eastAsia="Calibri" w:cs="Times New Roman"/>
                <w:i/>
              </w:rPr>
            </w:pPr>
            <w:r w:rsidRPr="00C17D4D">
              <w:rPr>
                <w:rFonts w:eastAsia="Calibri" w:cs="Times New Roman"/>
                <w:i/>
              </w:rPr>
              <w:t>6,966</w:t>
            </w:r>
          </w:p>
        </w:tc>
      </w:tr>
      <w:tr w:rsidR="00E7291E" w:rsidRPr="00C17D4D" w:rsidTr="00E7291E">
        <w:trPr>
          <w:trHeight w:val="455"/>
          <w:jc w:val="center"/>
        </w:trPr>
        <w:tc>
          <w:tcPr>
            <w:tcW w:w="1761"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Total</w:t>
            </w:r>
          </w:p>
        </w:tc>
        <w:tc>
          <w:tcPr>
            <w:tcW w:w="1417"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96</w:t>
            </w:r>
          </w:p>
        </w:tc>
        <w:tc>
          <w:tcPr>
            <w:tcW w:w="99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2,376</w:t>
            </w:r>
          </w:p>
        </w:tc>
        <w:tc>
          <w:tcPr>
            <w:tcW w:w="1418"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324</w:t>
            </w:r>
          </w:p>
        </w:tc>
        <w:tc>
          <w:tcPr>
            <w:tcW w:w="992"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6,108</w:t>
            </w:r>
          </w:p>
        </w:tc>
        <w:tc>
          <w:tcPr>
            <w:tcW w:w="1701"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378</w:t>
            </w:r>
          </w:p>
        </w:tc>
        <w:tc>
          <w:tcPr>
            <w:tcW w:w="958" w:type="dxa"/>
            <w:vAlign w:val="center"/>
          </w:tcPr>
          <w:p w:rsidR="00E7291E" w:rsidRPr="00C17D4D" w:rsidRDefault="00E7291E" w:rsidP="00E7291E">
            <w:pPr>
              <w:contextualSpacing/>
              <w:jc w:val="center"/>
              <w:rPr>
                <w:rFonts w:eastAsia="Calibri" w:cs="Times New Roman"/>
                <w:b/>
                <w:i/>
              </w:rPr>
            </w:pPr>
            <w:r w:rsidRPr="00C17D4D">
              <w:rPr>
                <w:rFonts w:eastAsia="Calibri" w:cs="Times New Roman"/>
                <w:b/>
                <w:i/>
              </w:rPr>
              <w:t>9,486</w:t>
            </w:r>
          </w:p>
        </w:tc>
      </w:tr>
    </w:tbl>
    <w:p w:rsidR="00E7291E" w:rsidRPr="008F0FBE" w:rsidRDefault="00E7291E" w:rsidP="00E7291E">
      <w:pPr>
        <w:ind w:left="-142"/>
        <w:contextualSpacing/>
        <w:rPr>
          <w:rFonts w:eastAsia="Calibri"/>
          <w:sz w:val="20"/>
          <w:szCs w:val="20"/>
        </w:rPr>
      </w:pPr>
      <w:r w:rsidRPr="008F0FBE">
        <w:rPr>
          <w:rFonts w:eastAsia="Calibri"/>
          <w:sz w:val="20"/>
          <w:szCs w:val="20"/>
        </w:rPr>
        <w:t>Tabla 4: cantidades previstas a  recolectar</w:t>
      </w:r>
    </w:p>
    <w:p w:rsidR="00E7291E" w:rsidRPr="00C17D4D" w:rsidRDefault="00E7291E" w:rsidP="00E7291E">
      <w:pPr>
        <w:ind w:left="1134"/>
        <w:contextualSpacing/>
        <w:rPr>
          <w:rFonts w:eastAsia="Calibri"/>
        </w:rPr>
      </w:pPr>
    </w:p>
    <w:p w:rsidR="00E7291E" w:rsidRPr="00C17D4D" w:rsidRDefault="00E7291E" w:rsidP="00E7291E">
      <w:pPr>
        <w:numPr>
          <w:ilvl w:val="0"/>
          <w:numId w:val="42"/>
        </w:numPr>
        <w:spacing w:after="200" w:line="276" w:lineRule="auto"/>
        <w:ind w:left="851" w:hanging="425"/>
        <w:contextualSpacing/>
        <w:rPr>
          <w:rFonts w:eastAsia="Calibri"/>
          <w:i/>
        </w:rPr>
      </w:pPr>
      <w:r w:rsidRPr="00C17D4D">
        <w:rPr>
          <w:rFonts w:eastAsia="Calibri"/>
          <w:i/>
        </w:rPr>
        <w:t xml:space="preserve">Proceso de verificación del cumplimiento de la meta mínima de Recolección establecida por la Resolución: </w:t>
      </w:r>
    </w:p>
    <w:p w:rsidR="00E7291E" w:rsidRPr="00C17D4D" w:rsidRDefault="00E7291E" w:rsidP="00E7291E">
      <w:pPr>
        <w:ind w:left="851"/>
        <w:contextualSpacing/>
        <w:rPr>
          <w:rFonts w:eastAsia="Calibri"/>
          <w:i/>
        </w:rPr>
      </w:pPr>
    </w:p>
    <w:p w:rsidR="00E7291E" w:rsidRDefault="00E7291E" w:rsidP="00E7291E">
      <w:pPr>
        <w:numPr>
          <w:ilvl w:val="1"/>
          <w:numId w:val="42"/>
        </w:numPr>
        <w:spacing w:after="200" w:line="276" w:lineRule="auto"/>
        <w:ind w:left="851" w:hanging="425"/>
        <w:contextualSpacing/>
        <w:rPr>
          <w:rFonts w:eastAsia="Calibri"/>
          <w:i/>
        </w:rPr>
      </w:pPr>
      <w:r w:rsidRPr="00C17D4D">
        <w:rPr>
          <w:rFonts w:eastAsia="Calibri"/>
          <w:b/>
          <w:i/>
        </w:rPr>
        <w:t>Año 2012</w:t>
      </w:r>
      <w:r w:rsidRPr="00C17D4D">
        <w:rPr>
          <w:rFonts w:eastAsia="Calibri"/>
          <w:i/>
        </w:rPr>
        <w:sym w:font="Wingdings" w:char="F0E0"/>
      </w:r>
      <w:r w:rsidRPr="00C17D4D">
        <w:rPr>
          <w:rFonts w:eastAsia="Calibri"/>
          <w:i/>
        </w:rPr>
        <w:t xml:space="preserve"> se verificara que los certificados emitidos por el gestor seleccionado corresponda mínimo a una cantidad de 2,376 kg de residuos de pilas y/o acumuladores gestionados, cantidad que corresponde a 96 unidades equivalentes peso, dicha cantidad debe ser soportada documentalmente durante todo el proceso de recolección y transporte</w:t>
      </w:r>
      <w:r>
        <w:rPr>
          <w:rFonts w:eastAsia="Calibri"/>
          <w:i/>
        </w:rPr>
        <w:t>”</w:t>
      </w:r>
    </w:p>
    <w:p w:rsidR="00E7291E" w:rsidRPr="0071315B" w:rsidRDefault="00E7291E">
      <w:pPr>
        <w:spacing w:line="240" w:lineRule="auto"/>
        <w:jc w:val="left"/>
        <w:rPr>
          <w:color w:val="000000"/>
          <w:lang w:eastAsia="es-CO"/>
        </w:rPr>
      </w:pPr>
    </w:p>
    <w:sectPr w:rsidR="00E7291E" w:rsidRPr="0071315B" w:rsidSect="00C677D7">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135"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1C7" w:rsidRDefault="001971C7">
      <w:r>
        <w:separator/>
      </w:r>
    </w:p>
  </w:endnote>
  <w:endnote w:type="continuationSeparator" w:id="0">
    <w:p w:rsidR="001971C7" w:rsidRDefault="0019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B" w:rsidRDefault="00DE50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B" w:rsidRPr="00194411" w:rsidRDefault="00DE501B" w:rsidP="00AC1CD1">
    <w:pPr>
      <w:pStyle w:val="Piedepgina"/>
      <w:jc w:val="right"/>
      <w:rPr>
        <w:sz w:val="18"/>
        <w:szCs w:val="18"/>
      </w:rPr>
    </w:pPr>
    <w:r>
      <w:rPr>
        <w:rStyle w:val="Nmerodepgina"/>
        <w:rFonts w:cs="Arial"/>
        <w:bCs/>
        <w:sz w:val="16"/>
        <w:szCs w:val="16"/>
      </w:rPr>
      <w:t>Términos de referencia para la formulación de sistemas de recolección selectiva y gestión ambiental de residuos</w:t>
    </w:r>
    <w:r>
      <w:rPr>
        <w:rStyle w:val="Nmerodepgina"/>
        <w:rFonts w:cs="Arial"/>
        <w:bCs/>
        <w:sz w:val="16"/>
        <w:szCs w:val="16"/>
      </w:rPr>
      <w:tab/>
    </w:r>
    <w:r w:rsidRPr="00BE2F21">
      <w:rPr>
        <w:sz w:val="16"/>
        <w:szCs w:val="16"/>
      </w:rPr>
      <w:t xml:space="preserve">Página </w:t>
    </w:r>
    <w:r w:rsidRPr="00BE2F21">
      <w:rPr>
        <w:sz w:val="16"/>
        <w:szCs w:val="16"/>
      </w:rPr>
      <w:fldChar w:fldCharType="begin"/>
    </w:r>
    <w:r w:rsidRPr="00BE2F21">
      <w:rPr>
        <w:sz w:val="16"/>
        <w:szCs w:val="16"/>
      </w:rPr>
      <w:instrText>PAGE</w:instrText>
    </w:r>
    <w:r w:rsidRPr="00BE2F21">
      <w:rPr>
        <w:sz w:val="16"/>
        <w:szCs w:val="16"/>
      </w:rPr>
      <w:fldChar w:fldCharType="separate"/>
    </w:r>
    <w:r w:rsidR="00937A5F">
      <w:rPr>
        <w:noProof/>
        <w:sz w:val="16"/>
        <w:szCs w:val="16"/>
      </w:rPr>
      <w:t>1</w:t>
    </w:r>
    <w:r w:rsidRPr="00BE2F21">
      <w:rPr>
        <w:sz w:val="16"/>
        <w:szCs w:val="16"/>
      </w:rPr>
      <w:fldChar w:fldCharType="end"/>
    </w:r>
    <w:r w:rsidRPr="00BE2F21">
      <w:rPr>
        <w:sz w:val="16"/>
        <w:szCs w:val="16"/>
      </w:rPr>
      <w:t xml:space="preserve"> de </w:t>
    </w:r>
    <w:r w:rsidRPr="00BE2F21">
      <w:rPr>
        <w:sz w:val="16"/>
        <w:szCs w:val="16"/>
      </w:rPr>
      <w:fldChar w:fldCharType="begin"/>
    </w:r>
    <w:r w:rsidRPr="00BE2F21">
      <w:rPr>
        <w:sz w:val="16"/>
        <w:szCs w:val="16"/>
      </w:rPr>
      <w:instrText>NUMPAGES</w:instrText>
    </w:r>
    <w:r w:rsidRPr="00BE2F21">
      <w:rPr>
        <w:sz w:val="16"/>
        <w:szCs w:val="16"/>
      </w:rPr>
      <w:fldChar w:fldCharType="separate"/>
    </w:r>
    <w:r w:rsidR="00937A5F">
      <w:rPr>
        <w:noProof/>
        <w:sz w:val="16"/>
        <w:szCs w:val="16"/>
      </w:rPr>
      <w:t>3</w:t>
    </w:r>
    <w:r w:rsidRPr="00BE2F21">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B" w:rsidRDefault="00DE50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1C7" w:rsidRDefault="001971C7">
      <w:r>
        <w:separator/>
      </w:r>
    </w:p>
  </w:footnote>
  <w:footnote w:type="continuationSeparator" w:id="0">
    <w:p w:rsidR="001971C7" w:rsidRDefault="00197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B" w:rsidRDefault="00DE501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thickThinLargeGap" w:sz="6" w:space="0" w:color="C0C0C0"/>
        <w:left w:val="thickThinLargeGap" w:sz="6" w:space="0" w:color="C0C0C0"/>
        <w:bottom w:val="thinThickLargeGap" w:sz="6" w:space="0" w:color="C0C0C0"/>
        <w:right w:val="thinThickLargeGap" w:sz="6" w:space="0" w:color="C0C0C0"/>
        <w:insideH w:val="single" w:sz="6" w:space="0" w:color="auto"/>
        <w:insideV w:val="single" w:sz="6" w:space="0" w:color="auto"/>
      </w:tblBorders>
      <w:tblCellMar>
        <w:left w:w="70" w:type="dxa"/>
        <w:right w:w="70" w:type="dxa"/>
      </w:tblCellMar>
      <w:tblLook w:val="01E0" w:firstRow="1" w:lastRow="1" w:firstColumn="1" w:lastColumn="1" w:noHBand="0" w:noVBand="0"/>
    </w:tblPr>
    <w:tblGrid>
      <w:gridCol w:w="2003"/>
      <w:gridCol w:w="5560"/>
      <w:gridCol w:w="1415"/>
    </w:tblGrid>
    <w:tr w:rsidR="00DE501B" w:rsidRPr="00E11EF7" w:rsidTr="00AC1CD1">
      <w:trPr>
        <w:cantSplit/>
        <w:trHeight w:val="1701"/>
        <w:tblHeader/>
      </w:trPr>
      <w:tc>
        <w:tcPr>
          <w:tcW w:w="949" w:type="pct"/>
          <w:tcBorders>
            <w:top w:val="thickThinLargeGap" w:sz="6" w:space="0" w:color="C0C0C0"/>
            <w:bottom w:val="thinThickLargeGap" w:sz="6" w:space="0" w:color="C0C0C0"/>
          </w:tcBorders>
          <w:vAlign w:val="center"/>
        </w:tcPr>
        <w:p w:rsidR="00DE501B" w:rsidRPr="00E11EF7" w:rsidRDefault="00DE501B" w:rsidP="00AC1CD1">
          <w:pPr>
            <w:ind w:left="142"/>
            <w:rPr>
              <w:rFonts w:ascii="Arial" w:hAnsi="Arial"/>
              <w:sz w:val="8"/>
              <w:szCs w:val="24"/>
              <w:lang w:eastAsia="es-ES"/>
            </w:rPr>
          </w:pPr>
          <w:r>
            <w:rPr>
              <w:noProof/>
              <w:lang w:eastAsia="es-CO"/>
            </w:rPr>
            <w:drawing>
              <wp:anchor distT="0" distB="0" distL="114300" distR="114300" simplePos="0" relativeHeight="251658240" behindDoc="0" locked="0" layoutInCell="1" allowOverlap="1">
                <wp:simplePos x="0" y="0"/>
                <wp:positionH relativeFrom="column">
                  <wp:posOffset>8255</wp:posOffset>
                </wp:positionH>
                <wp:positionV relativeFrom="paragraph">
                  <wp:posOffset>288290</wp:posOffset>
                </wp:positionV>
                <wp:extent cx="1163955" cy="487680"/>
                <wp:effectExtent l="19050" t="0" r="0" b="762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1163955" cy="487680"/>
                        </a:xfrm>
                        <a:prstGeom prst="rect">
                          <a:avLst/>
                        </a:prstGeom>
                        <a:noFill/>
                      </pic:spPr>
                    </pic:pic>
                  </a:graphicData>
                </a:graphic>
              </wp:anchor>
            </w:drawing>
          </w:r>
          <w:r>
            <w:rPr>
              <w:noProof/>
              <w:lang w:eastAsia="es-CO"/>
            </w:rPr>
            <mc:AlternateContent>
              <mc:Choice Requires="wps">
                <w:drawing>
                  <wp:anchor distT="4294967294" distB="4294967294" distL="114298" distR="114298" simplePos="0" relativeHeight="251657216" behindDoc="0" locked="0" layoutInCell="0" allowOverlap="1">
                    <wp:simplePos x="0" y="0"/>
                    <wp:positionH relativeFrom="column">
                      <wp:posOffset>1026794</wp:posOffset>
                    </wp:positionH>
                    <wp:positionV relativeFrom="paragraph">
                      <wp:posOffset>571499</wp:posOffset>
                    </wp:positionV>
                    <wp:extent cx="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0.85pt,45pt" to="8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" o:allowincell="f"/>
                </w:pict>
              </mc:Fallback>
            </mc:AlternateContent>
          </w:r>
        </w:p>
        <w:p w:rsidR="00DE501B" w:rsidRPr="00E11EF7" w:rsidRDefault="00DE501B" w:rsidP="00AC1CD1">
          <w:pPr>
            <w:jc w:val="center"/>
            <w:rPr>
              <w:rFonts w:ascii="Arial" w:hAnsi="Arial"/>
              <w:sz w:val="10"/>
              <w:szCs w:val="24"/>
              <w:lang w:eastAsia="es-ES"/>
            </w:rPr>
          </w:pPr>
        </w:p>
        <w:p w:rsidR="00DE501B" w:rsidRPr="00E11EF7" w:rsidRDefault="00DE501B" w:rsidP="00AC1CD1">
          <w:pPr>
            <w:tabs>
              <w:tab w:val="left" w:pos="1560"/>
            </w:tabs>
            <w:jc w:val="center"/>
            <w:rPr>
              <w:rFonts w:ascii="Arial" w:hAnsi="Arial"/>
              <w:sz w:val="10"/>
              <w:szCs w:val="24"/>
              <w:lang w:eastAsia="es-ES"/>
            </w:rPr>
          </w:pPr>
        </w:p>
        <w:p w:rsidR="00DE501B" w:rsidRPr="00E11EF7" w:rsidRDefault="00DE501B" w:rsidP="00AC1CD1">
          <w:pPr>
            <w:tabs>
              <w:tab w:val="left" w:pos="1560"/>
            </w:tabs>
            <w:jc w:val="center"/>
            <w:rPr>
              <w:rFonts w:ascii="Arial" w:hAnsi="Arial"/>
              <w:sz w:val="10"/>
              <w:szCs w:val="24"/>
              <w:lang w:eastAsia="es-ES"/>
            </w:rPr>
          </w:pPr>
        </w:p>
        <w:p w:rsidR="00DE501B" w:rsidRPr="00E11EF7" w:rsidRDefault="00DE501B" w:rsidP="00AC1CD1">
          <w:pPr>
            <w:tabs>
              <w:tab w:val="left" w:pos="1560"/>
            </w:tabs>
            <w:jc w:val="center"/>
            <w:rPr>
              <w:rFonts w:ascii="Arial" w:hAnsi="Arial"/>
              <w:sz w:val="10"/>
              <w:szCs w:val="24"/>
              <w:lang w:eastAsia="es-ES"/>
            </w:rPr>
          </w:pPr>
        </w:p>
        <w:p w:rsidR="00DE501B" w:rsidRPr="00E11EF7" w:rsidRDefault="00DE501B" w:rsidP="00AC1CD1">
          <w:pPr>
            <w:tabs>
              <w:tab w:val="left" w:pos="1560"/>
            </w:tabs>
            <w:jc w:val="center"/>
            <w:rPr>
              <w:rFonts w:ascii="Arial" w:hAnsi="Arial"/>
              <w:sz w:val="10"/>
              <w:szCs w:val="24"/>
              <w:lang w:eastAsia="es-ES"/>
            </w:rPr>
          </w:pPr>
        </w:p>
        <w:p w:rsidR="00DE501B" w:rsidRPr="00E11EF7" w:rsidRDefault="00DE501B" w:rsidP="00AC1CD1">
          <w:pPr>
            <w:tabs>
              <w:tab w:val="left" w:pos="1560"/>
            </w:tabs>
            <w:jc w:val="center"/>
            <w:rPr>
              <w:rFonts w:ascii="Arial" w:hAnsi="Arial"/>
              <w:sz w:val="10"/>
              <w:szCs w:val="24"/>
              <w:lang w:eastAsia="es-ES"/>
            </w:rPr>
          </w:pPr>
        </w:p>
        <w:p w:rsidR="00DE501B" w:rsidRPr="00E11EF7" w:rsidRDefault="00DE501B" w:rsidP="00AC1CD1">
          <w:pPr>
            <w:tabs>
              <w:tab w:val="left" w:pos="1560"/>
            </w:tabs>
            <w:jc w:val="center"/>
            <w:rPr>
              <w:rFonts w:ascii="Arial" w:hAnsi="Arial"/>
              <w:sz w:val="10"/>
              <w:szCs w:val="24"/>
              <w:lang w:eastAsia="es-ES"/>
            </w:rPr>
          </w:pPr>
        </w:p>
        <w:p w:rsidR="00DE501B" w:rsidRPr="00E11EF7" w:rsidRDefault="00DE501B" w:rsidP="00AC1CD1">
          <w:pPr>
            <w:tabs>
              <w:tab w:val="left" w:pos="1560"/>
            </w:tabs>
            <w:jc w:val="center"/>
            <w:rPr>
              <w:rFonts w:ascii="Arial" w:hAnsi="Arial"/>
              <w:sz w:val="10"/>
              <w:szCs w:val="24"/>
              <w:lang w:eastAsia="es-ES"/>
            </w:rPr>
          </w:pPr>
        </w:p>
        <w:p w:rsidR="00DE501B" w:rsidRPr="001D3BF1" w:rsidRDefault="00DE501B" w:rsidP="001D3BF1">
          <w:pPr>
            <w:ind w:right="-30"/>
            <w:jc w:val="center"/>
            <w:rPr>
              <w:rFonts w:ascii="Arial" w:eastAsia="Batang" w:hAnsi="Arial"/>
              <w:b/>
              <w:sz w:val="11"/>
              <w:szCs w:val="24"/>
              <w:lang w:eastAsia="es-ES"/>
            </w:rPr>
          </w:pPr>
        </w:p>
      </w:tc>
      <w:tc>
        <w:tcPr>
          <w:tcW w:w="3179" w:type="pct"/>
          <w:tcBorders>
            <w:top w:val="thickThinLargeGap" w:sz="6" w:space="0" w:color="C0C0C0"/>
            <w:bottom w:val="thinThickLargeGap" w:sz="6" w:space="0" w:color="C0C0C0"/>
          </w:tcBorders>
          <w:vAlign w:val="center"/>
        </w:tcPr>
        <w:p w:rsidR="00DE501B" w:rsidRDefault="00DE501B" w:rsidP="00AC1CD1">
          <w:pPr>
            <w:tabs>
              <w:tab w:val="center" w:pos="4252"/>
              <w:tab w:val="right" w:pos="8504"/>
            </w:tabs>
            <w:jc w:val="center"/>
            <w:rPr>
              <w:b/>
              <w:sz w:val="24"/>
              <w:szCs w:val="24"/>
              <w:lang w:val="es-PE" w:eastAsia="es-ES"/>
            </w:rPr>
          </w:pPr>
          <w:r>
            <w:rPr>
              <w:b/>
              <w:sz w:val="24"/>
              <w:szCs w:val="24"/>
              <w:lang w:val="es-PE" w:eastAsia="es-ES"/>
            </w:rPr>
            <w:t xml:space="preserve">TÉRMINOS DE REFERENCIA PARA </w:t>
          </w:r>
          <w:smartTag w:uri="urn:schemas-microsoft-com:office:smarttags" w:element="PersonName">
            <w:smartTagPr>
              <w:attr w:name="ProductID" w:val="LA FORMULACIÓN DE"/>
            </w:smartTagPr>
            <w:r>
              <w:rPr>
                <w:b/>
                <w:sz w:val="24"/>
                <w:szCs w:val="24"/>
                <w:lang w:val="es-PE" w:eastAsia="es-ES"/>
              </w:rPr>
              <w:t>LA FORMULACIÓN DE</w:t>
            </w:r>
          </w:smartTag>
        </w:p>
        <w:p w:rsidR="00DE501B" w:rsidRPr="00E11EF7" w:rsidRDefault="00DE501B" w:rsidP="00A17ABD">
          <w:pPr>
            <w:tabs>
              <w:tab w:val="center" w:pos="4252"/>
              <w:tab w:val="right" w:pos="8504"/>
            </w:tabs>
            <w:jc w:val="center"/>
            <w:rPr>
              <w:b/>
              <w:szCs w:val="24"/>
              <w:lang w:eastAsia="es-ES"/>
            </w:rPr>
          </w:pPr>
          <w:r>
            <w:rPr>
              <w:b/>
              <w:sz w:val="24"/>
              <w:szCs w:val="24"/>
              <w:lang w:val="es-PE" w:eastAsia="es-ES"/>
            </w:rPr>
            <w:t>SISTEMAS DE RECOLECCION SELECTIVA Y GESTION AMBIENTAL DE RESIDUOS</w:t>
          </w:r>
        </w:p>
      </w:tc>
      <w:tc>
        <w:tcPr>
          <w:tcW w:w="871" w:type="pct"/>
          <w:tcBorders>
            <w:top w:val="thickThinLargeGap" w:sz="6" w:space="0" w:color="C0C0C0"/>
            <w:bottom w:val="thinThickLargeGap" w:sz="6" w:space="0" w:color="C0C0C0"/>
          </w:tcBorders>
          <w:vAlign w:val="center"/>
        </w:tcPr>
        <w:p w:rsidR="00DE501B" w:rsidRPr="00E11EF7" w:rsidRDefault="00DE501B" w:rsidP="00AC1CD1">
          <w:pPr>
            <w:tabs>
              <w:tab w:val="center" w:pos="4252"/>
              <w:tab w:val="right" w:pos="8504"/>
            </w:tabs>
            <w:spacing w:before="20" w:after="20"/>
            <w:jc w:val="center"/>
            <w:rPr>
              <w:sz w:val="18"/>
              <w:szCs w:val="18"/>
              <w:lang w:val="es-PE" w:eastAsia="es-ES"/>
            </w:rPr>
          </w:pPr>
          <w:r w:rsidRPr="00E11EF7">
            <w:rPr>
              <w:color w:val="000000"/>
              <w:sz w:val="18"/>
              <w:szCs w:val="18"/>
              <w:lang w:eastAsia="es-ES"/>
            </w:rPr>
            <w:t>Versión:</w:t>
          </w:r>
        </w:p>
        <w:p w:rsidR="00DE501B" w:rsidRPr="00E11EF7" w:rsidRDefault="00DE501B" w:rsidP="00AC1CD1">
          <w:pPr>
            <w:tabs>
              <w:tab w:val="center" w:pos="4252"/>
              <w:tab w:val="right" w:pos="8504"/>
            </w:tabs>
            <w:spacing w:before="20" w:after="20"/>
            <w:rPr>
              <w:b/>
              <w:sz w:val="18"/>
              <w:szCs w:val="18"/>
              <w:lang w:eastAsia="es-ES"/>
            </w:rPr>
          </w:pPr>
        </w:p>
        <w:p w:rsidR="00DE501B" w:rsidRPr="00E11EF7" w:rsidRDefault="00DE501B" w:rsidP="00AC1CD1">
          <w:pPr>
            <w:tabs>
              <w:tab w:val="center" w:pos="4252"/>
              <w:tab w:val="right" w:pos="8504"/>
            </w:tabs>
            <w:jc w:val="center"/>
            <w:rPr>
              <w:b/>
              <w:szCs w:val="24"/>
              <w:lang w:eastAsia="es-ES"/>
            </w:rPr>
          </w:pPr>
          <w:r w:rsidRPr="00E11EF7">
            <w:rPr>
              <w:color w:val="000000"/>
              <w:sz w:val="18"/>
              <w:szCs w:val="18"/>
              <w:lang w:eastAsia="es-ES"/>
            </w:rPr>
            <w:t>Última Actualización</w:t>
          </w:r>
        </w:p>
      </w:tc>
    </w:tr>
  </w:tbl>
  <w:p w:rsidR="00DE501B" w:rsidRDefault="00DE50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01B" w:rsidRDefault="00DE50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65EE"/>
    <w:multiLevelType w:val="hybridMultilevel"/>
    <w:tmpl w:val="E6D2C81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
    <w:nsid w:val="02B924EB"/>
    <w:multiLevelType w:val="hybridMultilevel"/>
    <w:tmpl w:val="159429F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nsid w:val="03395D5C"/>
    <w:multiLevelType w:val="hybridMultilevel"/>
    <w:tmpl w:val="A51EEBFC"/>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nsid w:val="055C58F4"/>
    <w:multiLevelType w:val="hybridMultilevel"/>
    <w:tmpl w:val="C28C028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
    <w:nsid w:val="08A7152B"/>
    <w:multiLevelType w:val="hybridMultilevel"/>
    <w:tmpl w:val="89E0E70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nsid w:val="08AF5327"/>
    <w:multiLevelType w:val="hybridMultilevel"/>
    <w:tmpl w:val="E602610E"/>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092C10ED"/>
    <w:multiLevelType w:val="hybridMultilevel"/>
    <w:tmpl w:val="E912F95E"/>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nsid w:val="093848F0"/>
    <w:multiLevelType w:val="hybridMultilevel"/>
    <w:tmpl w:val="E8885F9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F283253"/>
    <w:multiLevelType w:val="multilevel"/>
    <w:tmpl w:val="8F2E3F30"/>
    <w:lvl w:ilvl="0">
      <w:start w:val="1"/>
      <w:numFmt w:val="decimal"/>
      <w:lvlText w:val="%1."/>
      <w:lvlJc w:val="left"/>
      <w:pPr>
        <w:ind w:left="1080" w:hanging="360"/>
      </w:pPr>
      <w:rPr>
        <w:rFonts w:hint="default"/>
      </w:rPr>
    </w:lvl>
    <w:lvl w:ilvl="1">
      <w:start w:val="1"/>
      <w:numFmt w:val="none"/>
      <w:lvlText w:val="1.1."/>
      <w:lvlJc w:val="left"/>
      <w:pPr>
        <w:ind w:left="1800" w:hanging="360"/>
      </w:pPr>
      <w:rPr>
        <w:rFonts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nsid w:val="153E1616"/>
    <w:multiLevelType w:val="hybridMultilevel"/>
    <w:tmpl w:val="12F82DCA"/>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0">
    <w:nsid w:val="1BAE1C4C"/>
    <w:multiLevelType w:val="hybridMultilevel"/>
    <w:tmpl w:val="0DBC68BA"/>
    <w:lvl w:ilvl="0" w:tplc="33ACBB60">
      <w:start w:val="1"/>
      <w:numFmt w:val="lowerLetter"/>
      <w:pStyle w:val="Conceptosubtitulo"/>
      <w:lvlText w:val="%1."/>
      <w:lvlJc w:val="left"/>
      <w:pPr>
        <w:ind w:left="720" w:hanging="360"/>
      </w:pPr>
      <w:rPr>
        <w:rFonts w:cs="Times New Roman" w:hint="default"/>
      </w:rPr>
    </w:lvl>
    <w:lvl w:ilvl="1" w:tplc="3080EF4A">
      <w:start w:val="1"/>
      <w:numFmt w:val="bullet"/>
      <w:pStyle w:val="vietaelemento"/>
      <w:lvlText w:val=""/>
      <w:lvlJc w:val="left"/>
      <w:pPr>
        <w:ind w:left="1440" w:hanging="360"/>
      </w:pPr>
      <w:rPr>
        <w:rFonts w:ascii="Symbol" w:hAnsi="Symbol" w:hint="default"/>
      </w:rPr>
    </w:lvl>
    <w:lvl w:ilvl="2" w:tplc="240A001B">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nsid w:val="1C522E5B"/>
    <w:multiLevelType w:val="multilevel"/>
    <w:tmpl w:val="240A001F"/>
    <w:lvl w:ilvl="0">
      <w:start w:val="1"/>
      <w:numFmt w:val="decimal"/>
      <w:lvlText w:val="%1."/>
      <w:lvlJc w:val="left"/>
      <w:pPr>
        <w:ind w:left="177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6D3985"/>
    <w:multiLevelType w:val="multilevel"/>
    <w:tmpl w:val="5030A484"/>
    <w:lvl w:ilvl="0">
      <w:start w:val="1"/>
      <w:numFmt w:val="decimal"/>
      <w:lvlText w:val="%1."/>
      <w:lvlJc w:val="left"/>
      <w:pPr>
        <w:ind w:left="360" w:hanging="360"/>
      </w:pPr>
      <w:rPr>
        <w:rFonts w:cs="Times New Roman"/>
      </w:rPr>
    </w:lvl>
    <w:lvl w:ilvl="1">
      <w:start w:val="1"/>
      <w:numFmt w:val="decimal"/>
      <w:pStyle w:val="Ttulo1"/>
      <w:lvlText w:val="%1.%2."/>
      <w:lvlJc w:val="left"/>
      <w:pPr>
        <w:ind w:left="432" w:hanging="432"/>
      </w:pPr>
      <w:rPr>
        <w:rFonts w:cs="Times New Roman"/>
        <w:b w:val="0"/>
        <w:i w:val="0"/>
        <w:sz w:val="22"/>
        <w:szCs w:val="22"/>
      </w:rPr>
    </w:lvl>
    <w:lvl w:ilvl="2">
      <w:start w:val="1"/>
      <w:numFmt w:val="decimal"/>
      <w:lvlText w:val="%1.%2.%3."/>
      <w:lvlJc w:val="left"/>
      <w:pPr>
        <w:ind w:left="1224" w:hanging="504"/>
      </w:pPr>
      <w:rPr>
        <w:rFonts w:cs="Times New Roman"/>
        <w:i w:val="0"/>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E19504C"/>
    <w:multiLevelType w:val="hybridMultilevel"/>
    <w:tmpl w:val="97725B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EF26039"/>
    <w:multiLevelType w:val="hybridMultilevel"/>
    <w:tmpl w:val="C47C3E78"/>
    <w:lvl w:ilvl="0" w:tplc="04601B3A">
      <w:start w:val="1"/>
      <w:numFmt w:val="decimal"/>
      <w:lvlText w:val="%1."/>
      <w:lvlJc w:val="left"/>
      <w:pPr>
        <w:ind w:left="720" w:hanging="360"/>
      </w:pPr>
      <w:rPr>
        <w:rFonts w:hint="default"/>
      </w:rPr>
    </w:lvl>
    <w:lvl w:ilvl="1" w:tplc="240A0003">
      <w:start w:val="1"/>
      <w:numFmt w:val="bullet"/>
      <w:lvlText w:val="o"/>
      <w:lvlJc w:val="left"/>
      <w:pPr>
        <w:ind w:left="1778"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0D84901"/>
    <w:multiLevelType w:val="hybridMultilevel"/>
    <w:tmpl w:val="EEDC1D80"/>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nsid w:val="261A7F02"/>
    <w:multiLevelType w:val="hybridMultilevel"/>
    <w:tmpl w:val="AC6088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89B7DE1"/>
    <w:multiLevelType w:val="hybridMultilevel"/>
    <w:tmpl w:val="C7DE3A6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7476C65"/>
    <w:multiLevelType w:val="hybridMultilevel"/>
    <w:tmpl w:val="FEACC46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nsid w:val="3A837CD2"/>
    <w:multiLevelType w:val="multilevel"/>
    <w:tmpl w:val="EF1A7AAC"/>
    <w:lvl w:ilvl="0">
      <w:start w:val="1"/>
      <w:numFmt w:val="decimal"/>
      <w:lvlText w:val="%1."/>
      <w:lvlJc w:val="left"/>
      <w:pPr>
        <w:ind w:left="720" w:hanging="360"/>
      </w:pPr>
      <w:rPr>
        <w:rFonts w:cs="Times New Roman" w:hint="default"/>
      </w:rPr>
    </w:lvl>
    <w:lvl w:ilvl="1">
      <w:start w:val="1"/>
      <w:numFmt w:val="upperRoman"/>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nsid w:val="3AB330E2"/>
    <w:multiLevelType w:val="hybridMultilevel"/>
    <w:tmpl w:val="4AC28D52"/>
    <w:lvl w:ilvl="0" w:tplc="2F6E18CA">
      <w:start w:val="1"/>
      <w:numFmt w:val="decimal"/>
      <w:pStyle w:val="conceptosubtitulonumerado"/>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nsid w:val="42323A61"/>
    <w:multiLevelType w:val="multilevel"/>
    <w:tmpl w:val="8F2E3F30"/>
    <w:lvl w:ilvl="0">
      <w:start w:val="1"/>
      <w:numFmt w:val="decimal"/>
      <w:lvlText w:val="%1."/>
      <w:lvlJc w:val="left"/>
      <w:pPr>
        <w:ind w:left="1080" w:hanging="360"/>
      </w:pPr>
      <w:rPr>
        <w:rFonts w:hint="default"/>
      </w:rPr>
    </w:lvl>
    <w:lvl w:ilvl="1">
      <w:start w:val="1"/>
      <w:numFmt w:val="none"/>
      <w:lvlText w:val="1.1."/>
      <w:lvlJc w:val="left"/>
      <w:pPr>
        <w:ind w:left="1800" w:hanging="360"/>
      </w:pPr>
      <w:rPr>
        <w:rFonts w:cs="Times New Roman"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nsid w:val="45033AD0"/>
    <w:multiLevelType w:val="hybridMultilevel"/>
    <w:tmpl w:val="E732218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3">
    <w:nsid w:val="4CFD51E4"/>
    <w:multiLevelType w:val="hybridMultilevel"/>
    <w:tmpl w:val="AA0E7B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0761135"/>
    <w:multiLevelType w:val="hybridMultilevel"/>
    <w:tmpl w:val="B40CC88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5">
    <w:nsid w:val="509D59D7"/>
    <w:multiLevelType w:val="hybridMultilevel"/>
    <w:tmpl w:val="CEE00D0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6">
    <w:nsid w:val="560B18F4"/>
    <w:multiLevelType w:val="hybridMultilevel"/>
    <w:tmpl w:val="C9FC6F9A"/>
    <w:lvl w:ilvl="0" w:tplc="240A0017">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7">
    <w:nsid w:val="57367DFD"/>
    <w:multiLevelType w:val="hybridMultilevel"/>
    <w:tmpl w:val="4B324D38"/>
    <w:lvl w:ilvl="0" w:tplc="240A000D">
      <w:start w:val="1"/>
      <w:numFmt w:val="bullet"/>
      <w:lvlText w:val=""/>
      <w:lvlJc w:val="left"/>
      <w:pPr>
        <w:ind w:left="1800" w:hanging="360"/>
      </w:pPr>
      <w:rPr>
        <w:rFonts w:ascii="Wingdings" w:hAnsi="Wingdings" w:hint="default"/>
      </w:rPr>
    </w:lvl>
    <w:lvl w:ilvl="1" w:tplc="240A0003">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8">
    <w:nsid w:val="59253ACC"/>
    <w:multiLevelType w:val="hybridMultilevel"/>
    <w:tmpl w:val="AE06BBAC"/>
    <w:lvl w:ilvl="0" w:tplc="240A0001">
      <w:start w:val="1"/>
      <w:numFmt w:val="bullet"/>
      <w:lvlText w:val=""/>
      <w:lvlJc w:val="left"/>
      <w:pPr>
        <w:ind w:left="644" w:hanging="360"/>
      </w:pPr>
      <w:rPr>
        <w:rFonts w:ascii="Symbol" w:hAnsi="Symbol" w:hint="default"/>
      </w:rPr>
    </w:lvl>
    <w:lvl w:ilvl="1" w:tplc="240A000D">
      <w:start w:val="1"/>
      <w:numFmt w:val="bullet"/>
      <w:lvlText w:val=""/>
      <w:lvlJc w:val="left"/>
      <w:pPr>
        <w:ind w:left="1778"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9E32184"/>
    <w:multiLevelType w:val="hybridMultilevel"/>
    <w:tmpl w:val="71FEB404"/>
    <w:lvl w:ilvl="0" w:tplc="7EC250C2">
      <w:numFmt w:val="bullet"/>
      <w:lvlText w:val="-"/>
      <w:lvlJc w:val="left"/>
      <w:pPr>
        <w:ind w:left="720" w:hanging="360"/>
      </w:pPr>
      <w:rPr>
        <w:rFonts w:ascii="Arial Narrow" w:eastAsia="Times New Roman" w:hAnsi="Arial Narrow"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4B40C3"/>
    <w:multiLevelType w:val="hybridMultilevel"/>
    <w:tmpl w:val="CC50B88C"/>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1">
    <w:nsid w:val="671B3C0A"/>
    <w:multiLevelType w:val="hybridMultilevel"/>
    <w:tmpl w:val="4462F2C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2">
    <w:nsid w:val="675C0221"/>
    <w:multiLevelType w:val="hybridMultilevel"/>
    <w:tmpl w:val="25A8FF78"/>
    <w:lvl w:ilvl="0" w:tplc="407EAF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C1F2AC3"/>
    <w:multiLevelType w:val="hybridMultilevel"/>
    <w:tmpl w:val="EDEE6D8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4">
    <w:nsid w:val="6CAC415D"/>
    <w:multiLevelType w:val="hybridMultilevel"/>
    <w:tmpl w:val="772C5764"/>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5">
    <w:nsid w:val="6DC43BFB"/>
    <w:multiLevelType w:val="hybridMultilevel"/>
    <w:tmpl w:val="CFDA8B8C"/>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6">
    <w:nsid w:val="6E6B5F50"/>
    <w:multiLevelType w:val="hybridMultilevel"/>
    <w:tmpl w:val="730E7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55B725E"/>
    <w:multiLevelType w:val="hybridMultilevel"/>
    <w:tmpl w:val="9E549870"/>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8">
    <w:nsid w:val="75B97F5C"/>
    <w:multiLevelType w:val="hybridMultilevel"/>
    <w:tmpl w:val="064CF60E"/>
    <w:lvl w:ilvl="0" w:tplc="E368C4A8">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98B11E2"/>
    <w:multiLevelType w:val="hybridMultilevel"/>
    <w:tmpl w:val="826CF5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778"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9FD3999"/>
    <w:multiLevelType w:val="hybridMultilevel"/>
    <w:tmpl w:val="AAA640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1">
    <w:nsid w:val="7C0B0632"/>
    <w:multiLevelType w:val="hybridMultilevel"/>
    <w:tmpl w:val="FEACC460"/>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12"/>
  </w:num>
  <w:num w:numId="2">
    <w:abstractNumId w:val="19"/>
  </w:num>
  <w:num w:numId="3">
    <w:abstractNumId w:val="30"/>
  </w:num>
  <w:num w:numId="4">
    <w:abstractNumId w:val="3"/>
  </w:num>
  <w:num w:numId="5">
    <w:abstractNumId w:val="1"/>
  </w:num>
  <w:num w:numId="6">
    <w:abstractNumId w:val="31"/>
  </w:num>
  <w:num w:numId="7">
    <w:abstractNumId w:val="20"/>
  </w:num>
  <w:num w:numId="8">
    <w:abstractNumId w:val="18"/>
  </w:num>
  <w:num w:numId="9">
    <w:abstractNumId w:val="26"/>
  </w:num>
  <w:num w:numId="10">
    <w:abstractNumId w:val="0"/>
  </w:num>
  <w:num w:numId="11">
    <w:abstractNumId w:val="34"/>
  </w:num>
  <w:num w:numId="12">
    <w:abstractNumId w:val="41"/>
  </w:num>
  <w:num w:numId="13">
    <w:abstractNumId w:val="6"/>
  </w:num>
  <w:num w:numId="14">
    <w:abstractNumId w:val="33"/>
  </w:num>
  <w:num w:numId="15">
    <w:abstractNumId w:val="25"/>
  </w:num>
  <w:num w:numId="16">
    <w:abstractNumId w:val="9"/>
  </w:num>
  <w:num w:numId="17">
    <w:abstractNumId w:val="35"/>
  </w:num>
  <w:num w:numId="18">
    <w:abstractNumId w:val="29"/>
  </w:num>
  <w:num w:numId="19">
    <w:abstractNumId w:val="10"/>
  </w:num>
  <w:num w:numId="20">
    <w:abstractNumId w:val="16"/>
  </w:num>
  <w:num w:numId="21">
    <w:abstractNumId w:val="8"/>
  </w:num>
  <w:num w:numId="22">
    <w:abstractNumId w:val="17"/>
  </w:num>
  <w:num w:numId="23">
    <w:abstractNumId w:val="7"/>
  </w:num>
  <w:num w:numId="24">
    <w:abstractNumId w:val="37"/>
  </w:num>
  <w:num w:numId="25">
    <w:abstractNumId w:val="22"/>
  </w:num>
  <w:num w:numId="26">
    <w:abstractNumId w:val="11"/>
  </w:num>
  <w:num w:numId="27">
    <w:abstractNumId w:val="21"/>
  </w:num>
  <w:num w:numId="28">
    <w:abstractNumId w:val="36"/>
  </w:num>
  <w:num w:numId="29">
    <w:abstractNumId w:val="13"/>
  </w:num>
  <w:num w:numId="30">
    <w:abstractNumId w:val="40"/>
  </w:num>
  <w:num w:numId="31">
    <w:abstractNumId w:val="23"/>
  </w:num>
  <w:num w:numId="32">
    <w:abstractNumId w:val="2"/>
  </w:num>
  <w:num w:numId="33">
    <w:abstractNumId w:val="15"/>
  </w:num>
  <w:num w:numId="34">
    <w:abstractNumId w:val="32"/>
  </w:num>
  <w:num w:numId="35">
    <w:abstractNumId w:val="32"/>
    <w:lvlOverride w:ilvl="0">
      <w:startOverride w:val="9"/>
    </w:lvlOverride>
  </w:num>
  <w:num w:numId="36">
    <w:abstractNumId w:val="32"/>
    <w:lvlOverride w:ilvl="0">
      <w:startOverride w:val="9"/>
    </w:lvlOverride>
  </w:num>
  <w:num w:numId="37">
    <w:abstractNumId w:val="24"/>
  </w:num>
  <w:num w:numId="38">
    <w:abstractNumId w:val="4"/>
  </w:num>
  <w:num w:numId="39">
    <w:abstractNumId w:val="39"/>
  </w:num>
  <w:num w:numId="40">
    <w:abstractNumId w:val="28"/>
  </w:num>
  <w:num w:numId="41">
    <w:abstractNumId w:val="14"/>
  </w:num>
  <w:num w:numId="42">
    <w:abstractNumId w:val="5"/>
  </w:num>
  <w:num w:numId="43">
    <w:abstractNumId w:val="27"/>
  </w:num>
  <w:num w:numId="44">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9E"/>
    <w:rsid w:val="00005E49"/>
    <w:rsid w:val="000167AA"/>
    <w:rsid w:val="00027D58"/>
    <w:rsid w:val="000350D6"/>
    <w:rsid w:val="00047668"/>
    <w:rsid w:val="000520EA"/>
    <w:rsid w:val="000540E4"/>
    <w:rsid w:val="00061B50"/>
    <w:rsid w:val="00064066"/>
    <w:rsid w:val="00064BCD"/>
    <w:rsid w:val="00065555"/>
    <w:rsid w:val="00070A4A"/>
    <w:rsid w:val="00074323"/>
    <w:rsid w:val="00080BD8"/>
    <w:rsid w:val="000869D8"/>
    <w:rsid w:val="00091C0E"/>
    <w:rsid w:val="00092733"/>
    <w:rsid w:val="000A37B6"/>
    <w:rsid w:val="000A5141"/>
    <w:rsid w:val="000A5CBD"/>
    <w:rsid w:val="000B2735"/>
    <w:rsid w:val="000B629B"/>
    <w:rsid w:val="000B6A90"/>
    <w:rsid w:val="000B6DF0"/>
    <w:rsid w:val="000B724D"/>
    <w:rsid w:val="000C46BA"/>
    <w:rsid w:val="000D3A8B"/>
    <w:rsid w:val="000E1B3F"/>
    <w:rsid w:val="000E7CE5"/>
    <w:rsid w:val="000E7DF1"/>
    <w:rsid w:val="00103B04"/>
    <w:rsid w:val="00103E6B"/>
    <w:rsid w:val="00103FDE"/>
    <w:rsid w:val="00105037"/>
    <w:rsid w:val="00106ABA"/>
    <w:rsid w:val="00107AE7"/>
    <w:rsid w:val="00110F86"/>
    <w:rsid w:val="0011268F"/>
    <w:rsid w:val="0011466E"/>
    <w:rsid w:val="00115C33"/>
    <w:rsid w:val="001262A8"/>
    <w:rsid w:val="00127C42"/>
    <w:rsid w:val="00131C74"/>
    <w:rsid w:val="00135C15"/>
    <w:rsid w:val="00140D06"/>
    <w:rsid w:val="00141802"/>
    <w:rsid w:val="001427B2"/>
    <w:rsid w:val="00144BF6"/>
    <w:rsid w:val="00150962"/>
    <w:rsid w:val="00155D83"/>
    <w:rsid w:val="001568E7"/>
    <w:rsid w:val="001605D4"/>
    <w:rsid w:val="0016307C"/>
    <w:rsid w:val="00163C52"/>
    <w:rsid w:val="00181BFC"/>
    <w:rsid w:val="00193F63"/>
    <w:rsid w:val="00194411"/>
    <w:rsid w:val="00194D7E"/>
    <w:rsid w:val="00196696"/>
    <w:rsid w:val="001971C7"/>
    <w:rsid w:val="001974BD"/>
    <w:rsid w:val="001A3586"/>
    <w:rsid w:val="001B2032"/>
    <w:rsid w:val="001B6A76"/>
    <w:rsid w:val="001C110B"/>
    <w:rsid w:val="001C1117"/>
    <w:rsid w:val="001C5FB6"/>
    <w:rsid w:val="001D00F4"/>
    <w:rsid w:val="001D33BA"/>
    <w:rsid w:val="001D39A7"/>
    <w:rsid w:val="001D3BF1"/>
    <w:rsid w:val="001D4902"/>
    <w:rsid w:val="001D6FC2"/>
    <w:rsid w:val="001E0138"/>
    <w:rsid w:val="001E3DE9"/>
    <w:rsid w:val="001F074A"/>
    <w:rsid w:val="00200296"/>
    <w:rsid w:val="00200ECD"/>
    <w:rsid w:val="00204169"/>
    <w:rsid w:val="00230334"/>
    <w:rsid w:val="00231226"/>
    <w:rsid w:val="00237A9B"/>
    <w:rsid w:val="00237CA4"/>
    <w:rsid w:val="00240E0F"/>
    <w:rsid w:val="0024469F"/>
    <w:rsid w:val="00244723"/>
    <w:rsid w:val="00245917"/>
    <w:rsid w:val="00250766"/>
    <w:rsid w:val="00253CF6"/>
    <w:rsid w:val="0026644E"/>
    <w:rsid w:val="00275CDA"/>
    <w:rsid w:val="00276D26"/>
    <w:rsid w:val="0028378F"/>
    <w:rsid w:val="00285350"/>
    <w:rsid w:val="0028728A"/>
    <w:rsid w:val="002903AE"/>
    <w:rsid w:val="002932DF"/>
    <w:rsid w:val="00296D2B"/>
    <w:rsid w:val="002A11F8"/>
    <w:rsid w:val="002A2D2D"/>
    <w:rsid w:val="002A6F2F"/>
    <w:rsid w:val="002B08A8"/>
    <w:rsid w:val="002B1CE2"/>
    <w:rsid w:val="002B33EB"/>
    <w:rsid w:val="002C0DB3"/>
    <w:rsid w:val="002D59AC"/>
    <w:rsid w:val="002D6BCF"/>
    <w:rsid w:val="002D7AB7"/>
    <w:rsid w:val="002E16C0"/>
    <w:rsid w:val="002E7FCC"/>
    <w:rsid w:val="002F55AD"/>
    <w:rsid w:val="00312C46"/>
    <w:rsid w:val="003248BF"/>
    <w:rsid w:val="00337F37"/>
    <w:rsid w:val="00340799"/>
    <w:rsid w:val="00343EB6"/>
    <w:rsid w:val="003530D9"/>
    <w:rsid w:val="00354F8C"/>
    <w:rsid w:val="00355B25"/>
    <w:rsid w:val="0036102D"/>
    <w:rsid w:val="00361487"/>
    <w:rsid w:val="00367BE0"/>
    <w:rsid w:val="00373572"/>
    <w:rsid w:val="003776F7"/>
    <w:rsid w:val="00380342"/>
    <w:rsid w:val="0038113E"/>
    <w:rsid w:val="00381927"/>
    <w:rsid w:val="003857D9"/>
    <w:rsid w:val="003858A3"/>
    <w:rsid w:val="00387864"/>
    <w:rsid w:val="003920A2"/>
    <w:rsid w:val="003A160E"/>
    <w:rsid w:val="003B1587"/>
    <w:rsid w:val="003B4B73"/>
    <w:rsid w:val="003C61AA"/>
    <w:rsid w:val="003C71B1"/>
    <w:rsid w:val="003E3B2E"/>
    <w:rsid w:val="003E71B8"/>
    <w:rsid w:val="003F1EA0"/>
    <w:rsid w:val="003F4924"/>
    <w:rsid w:val="003F5D42"/>
    <w:rsid w:val="00400660"/>
    <w:rsid w:val="00403090"/>
    <w:rsid w:val="00410C5B"/>
    <w:rsid w:val="00413634"/>
    <w:rsid w:val="004142B3"/>
    <w:rsid w:val="004209DC"/>
    <w:rsid w:val="00421309"/>
    <w:rsid w:val="00421AEF"/>
    <w:rsid w:val="004258A9"/>
    <w:rsid w:val="00440356"/>
    <w:rsid w:val="00440486"/>
    <w:rsid w:val="004405A2"/>
    <w:rsid w:val="00440CD7"/>
    <w:rsid w:val="00445AF5"/>
    <w:rsid w:val="00454BF4"/>
    <w:rsid w:val="004552C3"/>
    <w:rsid w:val="0046568F"/>
    <w:rsid w:val="00466BC4"/>
    <w:rsid w:val="00466DCF"/>
    <w:rsid w:val="004722ED"/>
    <w:rsid w:val="00472A32"/>
    <w:rsid w:val="0047490D"/>
    <w:rsid w:val="00476454"/>
    <w:rsid w:val="0047731C"/>
    <w:rsid w:val="00480833"/>
    <w:rsid w:val="00480A4B"/>
    <w:rsid w:val="00484CA2"/>
    <w:rsid w:val="00486727"/>
    <w:rsid w:val="004A13BD"/>
    <w:rsid w:val="004A2704"/>
    <w:rsid w:val="004A5436"/>
    <w:rsid w:val="004B2AC6"/>
    <w:rsid w:val="004B406F"/>
    <w:rsid w:val="004B62FC"/>
    <w:rsid w:val="004C11EB"/>
    <w:rsid w:val="004C58CB"/>
    <w:rsid w:val="004D2E63"/>
    <w:rsid w:val="004D7629"/>
    <w:rsid w:val="004D7EB7"/>
    <w:rsid w:val="004E1A62"/>
    <w:rsid w:val="004E5017"/>
    <w:rsid w:val="004E6456"/>
    <w:rsid w:val="004F2963"/>
    <w:rsid w:val="00503224"/>
    <w:rsid w:val="00503B9E"/>
    <w:rsid w:val="005068F1"/>
    <w:rsid w:val="00506DBB"/>
    <w:rsid w:val="00507FCD"/>
    <w:rsid w:val="00510B02"/>
    <w:rsid w:val="005123B3"/>
    <w:rsid w:val="005178CE"/>
    <w:rsid w:val="00521338"/>
    <w:rsid w:val="005237D8"/>
    <w:rsid w:val="00525898"/>
    <w:rsid w:val="00530920"/>
    <w:rsid w:val="00533F79"/>
    <w:rsid w:val="00534643"/>
    <w:rsid w:val="00537B67"/>
    <w:rsid w:val="00550454"/>
    <w:rsid w:val="00562126"/>
    <w:rsid w:val="00565243"/>
    <w:rsid w:val="005677CE"/>
    <w:rsid w:val="00571AA2"/>
    <w:rsid w:val="005735BC"/>
    <w:rsid w:val="0059132D"/>
    <w:rsid w:val="005A7A54"/>
    <w:rsid w:val="005B138D"/>
    <w:rsid w:val="005C3BDC"/>
    <w:rsid w:val="005D2A24"/>
    <w:rsid w:val="005D7F76"/>
    <w:rsid w:val="005E1AFE"/>
    <w:rsid w:val="005E1FF9"/>
    <w:rsid w:val="005F1D4F"/>
    <w:rsid w:val="005F2B13"/>
    <w:rsid w:val="005F7A18"/>
    <w:rsid w:val="006002B1"/>
    <w:rsid w:val="006016E8"/>
    <w:rsid w:val="006026EF"/>
    <w:rsid w:val="006047F6"/>
    <w:rsid w:val="006079F2"/>
    <w:rsid w:val="0061207C"/>
    <w:rsid w:val="006134A7"/>
    <w:rsid w:val="00613597"/>
    <w:rsid w:val="00620094"/>
    <w:rsid w:val="00623D22"/>
    <w:rsid w:val="00625041"/>
    <w:rsid w:val="00626F9B"/>
    <w:rsid w:val="00640A0E"/>
    <w:rsid w:val="006478D4"/>
    <w:rsid w:val="00651D11"/>
    <w:rsid w:val="006622E6"/>
    <w:rsid w:val="00663907"/>
    <w:rsid w:val="00663F65"/>
    <w:rsid w:val="00664D9F"/>
    <w:rsid w:val="00665063"/>
    <w:rsid w:val="00670484"/>
    <w:rsid w:val="00675205"/>
    <w:rsid w:val="0068675C"/>
    <w:rsid w:val="00694CA2"/>
    <w:rsid w:val="00697343"/>
    <w:rsid w:val="006A170A"/>
    <w:rsid w:val="006A7887"/>
    <w:rsid w:val="006C0AFF"/>
    <w:rsid w:val="006C32AB"/>
    <w:rsid w:val="006D0C07"/>
    <w:rsid w:val="006D0E05"/>
    <w:rsid w:val="006D25CB"/>
    <w:rsid w:val="006D353F"/>
    <w:rsid w:val="006E3E0E"/>
    <w:rsid w:val="006E479C"/>
    <w:rsid w:val="006F18DF"/>
    <w:rsid w:val="006F4B3D"/>
    <w:rsid w:val="006F5F86"/>
    <w:rsid w:val="006F63C8"/>
    <w:rsid w:val="00705B8A"/>
    <w:rsid w:val="00711459"/>
    <w:rsid w:val="00712EE9"/>
    <w:rsid w:val="0071315B"/>
    <w:rsid w:val="0072008E"/>
    <w:rsid w:val="007228E6"/>
    <w:rsid w:val="00724D8F"/>
    <w:rsid w:val="0072687D"/>
    <w:rsid w:val="00731D69"/>
    <w:rsid w:val="00741FBB"/>
    <w:rsid w:val="00743DAE"/>
    <w:rsid w:val="007448C4"/>
    <w:rsid w:val="007469C2"/>
    <w:rsid w:val="00746CE5"/>
    <w:rsid w:val="0075271A"/>
    <w:rsid w:val="00776474"/>
    <w:rsid w:val="00776F68"/>
    <w:rsid w:val="007826F9"/>
    <w:rsid w:val="007831C5"/>
    <w:rsid w:val="0079039E"/>
    <w:rsid w:val="0079471C"/>
    <w:rsid w:val="00797E28"/>
    <w:rsid w:val="007A2BD7"/>
    <w:rsid w:val="007A35C4"/>
    <w:rsid w:val="007A5E9E"/>
    <w:rsid w:val="007C6DD2"/>
    <w:rsid w:val="007C7C35"/>
    <w:rsid w:val="007D03F5"/>
    <w:rsid w:val="007D20D3"/>
    <w:rsid w:val="007E5215"/>
    <w:rsid w:val="007F1669"/>
    <w:rsid w:val="00802342"/>
    <w:rsid w:val="00805AEF"/>
    <w:rsid w:val="00811E24"/>
    <w:rsid w:val="00815671"/>
    <w:rsid w:val="00825FEA"/>
    <w:rsid w:val="00830D6A"/>
    <w:rsid w:val="00832BCC"/>
    <w:rsid w:val="00834AB4"/>
    <w:rsid w:val="00836753"/>
    <w:rsid w:val="00837DC9"/>
    <w:rsid w:val="00841113"/>
    <w:rsid w:val="00844040"/>
    <w:rsid w:val="00847C06"/>
    <w:rsid w:val="00854DA7"/>
    <w:rsid w:val="00880F39"/>
    <w:rsid w:val="00881F9F"/>
    <w:rsid w:val="00885369"/>
    <w:rsid w:val="008872B1"/>
    <w:rsid w:val="00890764"/>
    <w:rsid w:val="0089386B"/>
    <w:rsid w:val="00895EB9"/>
    <w:rsid w:val="008A1C2E"/>
    <w:rsid w:val="008B6717"/>
    <w:rsid w:val="008B7A60"/>
    <w:rsid w:val="008D3068"/>
    <w:rsid w:val="008D4C56"/>
    <w:rsid w:val="008D666C"/>
    <w:rsid w:val="008E4DAD"/>
    <w:rsid w:val="008F7DFA"/>
    <w:rsid w:val="00905781"/>
    <w:rsid w:val="0091033E"/>
    <w:rsid w:val="00911682"/>
    <w:rsid w:val="009170B6"/>
    <w:rsid w:val="00921850"/>
    <w:rsid w:val="00922BA9"/>
    <w:rsid w:val="00925B7D"/>
    <w:rsid w:val="009305CC"/>
    <w:rsid w:val="00930F7B"/>
    <w:rsid w:val="00937A5F"/>
    <w:rsid w:val="00941003"/>
    <w:rsid w:val="00941324"/>
    <w:rsid w:val="00955115"/>
    <w:rsid w:val="009614D5"/>
    <w:rsid w:val="009624FA"/>
    <w:rsid w:val="00964426"/>
    <w:rsid w:val="0096575C"/>
    <w:rsid w:val="00965AA2"/>
    <w:rsid w:val="00967EA0"/>
    <w:rsid w:val="00975BB8"/>
    <w:rsid w:val="00976E96"/>
    <w:rsid w:val="009854C5"/>
    <w:rsid w:val="00985FE3"/>
    <w:rsid w:val="0098600B"/>
    <w:rsid w:val="00987A7C"/>
    <w:rsid w:val="00990D75"/>
    <w:rsid w:val="00992C61"/>
    <w:rsid w:val="0099379F"/>
    <w:rsid w:val="009A0FE1"/>
    <w:rsid w:val="009A1FDC"/>
    <w:rsid w:val="009B0B54"/>
    <w:rsid w:val="009B62B9"/>
    <w:rsid w:val="009B7297"/>
    <w:rsid w:val="009D052E"/>
    <w:rsid w:val="009D08CC"/>
    <w:rsid w:val="009E0EA4"/>
    <w:rsid w:val="009E1B22"/>
    <w:rsid w:val="009E47E9"/>
    <w:rsid w:val="009E4C7F"/>
    <w:rsid w:val="009F1E22"/>
    <w:rsid w:val="009F4B8E"/>
    <w:rsid w:val="00A011D2"/>
    <w:rsid w:val="00A01CB4"/>
    <w:rsid w:val="00A13020"/>
    <w:rsid w:val="00A14734"/>
    <w:rsid w:val="00A17945"/>
    <w:rsid w:val="00A17ABD"/>
    <w:rsid w:val="00A21174"/>
    <w:rsid w:val="00A23646"/>
    <w:rsid w:val="00A36A5C"/>
    <w:rsid w:val="00A4570E"/>
    <w:rsid w:val="00A47F47"/>
    <w:rsid w:val="00A613C8"/>
    <w:rsid w:val="00A63792"/>
    <w:rsid w:val="00A72743"/>
    <w:rsid w:val="00A80249"/>
    <w:rsid w:val="00A8516D"/>
    <w:rsid w:val="00A95DE1"/>
    <w:rsid w:val="00AB3DC6"/>
    <w:rsid w:val="00AC1CD1"/>
    <w:rsid w:val="00AC3CF6"/>
    <w:rsid w:val="00AD70EF"/>
    <w:rsid w:val="00AE2DCE"/>
    <w:rsid w:val="00AE4D2A"/>
    <w:rsid w:val="00AE7384"/>
    <w:rsid w:val="00AF1D8D"/>
    <w:rsid w:val="00AF2B0E"/>
    <w:rsid w:val="00AF2B31"/>
    <w:rsid w:val="00AF4544"/>
    <w:rsid w:val="00B024EE"/>
    <w:rsid w:val="00B03A8F"/>
    <w:rsid w:val="00B06772"/>
    <w:rsid w:val="00B06F9D"/>
    <w:rsid w:val="00B07C0C"/>
    <w:rsid w:val="00B1254E"/>
    <w:rsid w:val="00B16413"/>
    <w:rsid w:val="00B21183"/>
    <w:rsid w:val="00B22CA8"/>
    <w:rsid w:val="00B32161"/>
    <w:rsid w:val="00B406B7"/>
    <w:rsid w:val="00B45972"/>
    <w:rsid w:val="00B469B4"/>
    <w:rsid w:val="00B47C51"/>
    <w:rsid w:val="00B51A13"/>
    <w:rsid w:val="00B51FE2"/>
    <w:rsid w:val="00B60638"/>
    <w:rsid w:val="00B62067"/>
    <w:rsid w:val="00B64380"/>
    <w:rsid w:val="00B6726F"/>
    <w:rsid w:val="00B67B97"/>
    <w:rsid w:val="00B832FB"/>
    <w:rsid w:val="00B93FDD"/>
    <w:rsid w:val="00B944A5"/>
    <w:rsid w:val="00B94617"/>
    <w:rsid w:val="00B9736E"/>
    <w:rsid w:val="00BA0B7E"/>
    <w:rsid w:val="00BA122E"/>
    <w:rsid w:val="00BA4126"/>
    <w:rsid w:val="00BB169B"/>
    <w:rsid w:val="00BD2CAA"/>
    <w:rsid w:val="00BD60A0"/>
    <w:rsid w:val="00BE0256"/>
    <w:rsid w:val="00BE2145"/>
    <w:rsid w:val="00BE2F21"/>
    <w:rsid w:val="00BE4047"/>
    <w:rsid w:val="00BE72DD"/>
    <w:rsid w:val="00BF1275"/>
    <w:rsid w:val="00BF1E8A"/>
    <w:rsid w:val="00C0278A"/>
    <w:rsid w:val="00C030A0"/>
    <w:rsid w:val="00C036B8"/>
    <w:rsid w:val="00C05164"/>
    <w:rsid w:val="00C06916"/>
    <w:rsid w:val="00C1609F"/>
    <w:rsid w:val="00C16D0C"/>
    <w:rsid w:val="00C21568"/>
    <w:rsid w:val="00C2222B"/>
    <w:rsid w:val="00C31FAA"/>
    <w:rsid w:val="00C33F1D"/>
    <w:rsid w:val="00C34A5E"/>
    <w:rsid w:val="00C356A4"/>
    <w:rsid w:val="00C35855"/>
    <w:rsid w:val="00C44AF4"/>
    <w:rsid w:val="00C677D7"/>
    <w:rsid w:val="00C76CC7"/>
    <w:rsid w:val="00C87AEE"/>
    <w:rsid w:val="00C90D9D"/>
    <w:rsid w:val="00C939B9"/>
    <w:rsid w:val="00CA341A"/>
    <w:rsid w:val="00CA4AAA"/>
    <w:rsid w:val="00CA4C2D"/>
    <w:rsid w:val="00CA561D"/>
    <w:rsid w:val="00CA6F99"/>
    <w:rsid w:val="00CB187C"/>
    <w:rsid w:val="00CB5049"/>
    <w:rsid w:val="00CB564C"/>
    <w:rsid w:val="00CB74FB"/>
    <w:rsid w:val="00CC74EC"/>
    <w:rsid w:val="00CE12CE"/>
    <w:rsid w:val="00CE4125"/>
    <w:rsid w:val="00CE575F"/>
    <w:rsid w:val="00CE5CDC"/>
    <w:rsid w:val="00CF032C"/>
    <w:rsid w:val="00CF3D8F"/>
    <w:rsid w:val="00CF69CA"/>
    <w:rsid w:val="00CF7B51"/>
    <w:rsid w:val="00D02061"/>
    <w:rsid w:val="00D0663A"/>
    <w:rsid w:val="00D20174"/>
    <w:rsid w:val="00D21C9C"/>
    <w:rsid w:val="00D225E5"/>
    <w:rsid w:val="00D25F7F"/>
    <w:rsid w:val="00D315EB"/>
    <w:rsid w:val="00D34220"/>
    <w:rsid w:val="00D378FA"/>
    <w:rsid w:val="00D40309"/>
    <w:rsid w:val="00D40EAD"/>
    <w:rsid w:val="00D46E94"/>
    <w:rsid w:val="00D473D5"/>
    <w:rsid w:val="00D53E6E"/>
    <w:rsid w:val="00D627D5"/>
    <w:rsid w:val="00D65082"/>
    <w:rsid w:val="00D6754D"/>
    <w:rsid w:val="00D85B05"/>
    <w:rsid w:val="00D938D0"/>
    <w:rsid w:val="00D95778"/>
    <w:rsid w:val="00D979A6"/>
    <w:rsid w:val="00DA0737"/>
    <w:rsid w:val="00DA402B"/>
    <w:rsid w:val="00DA48F7"/>
    <w:rsid w:val="00DB1DF4"/>
    <w:rsid w:val="00DB265C"/>
    <w:rsid w:val="00DC37C0"/>
    <w:rsid w:val="00DD2778"/>
    <w:rsid w:val="00DD46D6"/>
    <w:rsid w:val="00DD76BC"/>
    <w:rsid w:val="00DE0C72"/>
    <w:rsid w:val="00DE41DA"/>
    <w:rsid w:val="00DE424F"/>
    <w:rsid w:val="00DE501B"/>
    <w:rsid w:val="00DE6B2C"/>
    <w:rsid w:val="00DF2337"/>
    <w:rsid w:val="00DF2914"/>
    <w:rsid w:val="00DF308B"/>
    <w:rsid w:val="00DF39BE"/>
    <w:rsid w:val="00DF7B22"/>
    <w:rsid w:val="00E00407"/>
    <w:rsid w:val="00E10E60"/>
    <w:rsid w:val="00E11EF7"/>
    <w:rsid w:val="00E15894"/>
    <w:rsid w:val="00E163A3"/>
    <w:rsid w:val="00E21FE0"/>
    <w:rsid w:val="00E33705"/>
    <w:rsid w:val="00E45505"/>
    <w:rsid w:val="00E61AAC"/>
    <w:rsid w:val="00E61F82"/>
    <w:rsid w:val="00E639B8"/>
    <w:rsid w:val="00E7018E"/>
    <w:rsid w:val="00E7291E"/>
    <w:rsid w:val="00E72E2A"/>
    <w:rsid w:val="00E76997"/>
    <w:rsid w:val="00E7738E"/>
    <w:rsid w:val="00E8559A"/>
    <w:rsid w:val="00E8754E"/>
    <w:rsid w:val="00E87783"/>
    <w:rsid w:val="00EA6CED"/>
    <w:rsid w:val="00EB1BB4"/>
    <w:rsid w:val="00EB1C46"/>
    <w:rsid w:val="00EB2FE4"/>
    <w:rsid w:val="00ED0081"/>
    <w:rsid w:val="00ED0522"/>
    <w:rsid w:val="00ED17A4"/>
    <w:rsid w:val="00ED1A0C"/>
    <w:rsid w:val="00ED41D7"/>
    <w:rsid w:val="00ED560F"/>
    <w:rsid w:val="00EE35B5"/>
    <w:rsid w:val="00EF6C82"/>
    <w:rsid w:val="00EF76EA"/>
    <w:rsid w:val="00F034B1"/>
    <w:rsid w:val="00F12CB3"/>
    <w:rsid w:val="00F2002E"/>
    <w:rsid w:val="00F2263E"/>
    <w:rsid w:val="00F238A5"/>
    <w:rsid w:val="00F248BC"/>
    <w:rsid w:val="00F36D2F"/>
    <w:rsid w:val="00F41126"/>
    <w:rsid w:val="00F510DB"/>
    <w:rsid w:val="00F54616"/>
    <w:rsid w:val="00F566FF"/>
    <w:rsid w:val="00F67573"/>
    <w:rsid w:val="00F7206B"/>
    <w:rsid w:val="00F77299"/>
    <w:rsid w:val="00F775C7"/>
    <w:rsid w:val="00F77762"/>
    <w:rsid w:val="00F807D6"/>
    <w:rsid w:val="00F8248B"/>
    <w:rsid w:val="00F8304C"/>
    <w:rsid w:val="00F91D95"/>
    <w:rsid w:val="00F91EE3"/>
    <w:rsid w:val="00FA7A14"/>
    <w:rsid w:val="00FA7D24"/>
    <w:rsid w:val="00FB69F7"/>
    <w:rsid w:val="00FC31D5"/>
    <w:rsid w:val="00FC3738"/>
    <w:rsid w:val="00FC3C4B"/>
    <w:rsid w:val="00FE1A9D"/>
    <w:rsid w:val="00FE1C9E"/>
    <w:rsid w:val="00FE371B"/>
    <w:rsid w:val="00FE3DC1"/>
    <w:rsid w:val="00FE51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9E"/>
    <w:pPr>
      <w:spacing w:line="264" w:lineRule="auto"/>
      <w:jc w:val="both"/>
    </w:pPr>
    <w:rPr>
      <w:rFonts w:ascii="Arial Narrow" w:hAnsi="Arial Narrow"/>
      <w:lang w:eastAsia="en-US"/>
    </w:rPr>
  </w:style>
  <w:style w:type="paragraph" w:styleId="Ttulo1">
    <w:name w:val="heading 1"/>
    <w:aliases w:val="Titulo Unidad"/>
    <w:basedOn w:val="Normal"/>
    <w:next w:val="Normal"/>
    <w:link w:val="Ttulo1Car"/>
    <w:autoRedefine/>
    <w:uiPriority w:val="99"/>
    <w:qFormat/>
    <w:rsid w:val="0079039E"/>
    <w:pPr>
      <w:keepNext/>
      <w:numPr>
        <w:ilvl w:val="1"/>
        <w:numId w:val="1"/>
      </w:numPr>
      <w:spacing w:line="240" w:lineRule="auto"/>
      <w:outlineLvl w:val="0"/>
    </w:pPr>
    <w:rPr>
      <w:b/>
      <w:bCs/>
      <w:i/>
      <w:sz w:val="20"/>
      <w:szCs w:val="20"/>
      <w:lang w:eastAsia="es-ES"/>
    </w:rPr>
  </w:style>
  <w:style w:type="paragraph" w:styleId="Ttulo2">
    <w:name w:val="heading 2"/>
    <w:basedOn w:val="Normal"/>
    <w:next w:val="Normal"/>
    <w:link w:val="Ttulo2Car"/>
    <w:uiPriority w:val="99"/>
    <w:qFormat/>
    <w:rsid w:val="00507FCD"/>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9"/>
    <w:qFormat/>
    <w:rsid w:val="00507FCD"/>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Unidad Car"/>
    <w:basedOn w:val="Fuentedeprrafopredeter"/>
    <w:link w:val="Ttulo1"/>
    <w:uiPriority w:val="99"/>
    <w:locked/>
    <w:rsid w:val="0079039E"/>
    <w:rPr>
      <w:rFonts w:ascii="Arial Narrow" w:hAnsi="Arial Narrow" w:cs="Times New Roman"/>
      <w:b/>
      <w:i/>
      <w:lang w:eastAsia="es-ES"/>
    </w:rPr>
  </w:style>
  <w:style w:type="character" w:customStyle="1" w:styleId="Ttulo2Car">
    <w:name w:val="Título 2 Car"/>
    <w:basedOn w:val="Fuentedeprrafopredeter"/>
    <w:link w:val="Ttulo2"/>
    <w:uiPriority w:val="99"/>
    <w:semiHidden/>
    <w:locked/>
    <w:rsid w:val="00507FCD"/>
    <w:rPr>
      <w:rFonts w:ascii="Cambria" w:hAnsi="Cambria" w:cs="Times New Roman"/>
      <w:b/>
      <w:bCs/>
      <w:color w:val="4F81BD"/>
      <w:sz w:val="26"/>
      <w:szCs w:val="26"/>
      <w:lang w:eastAsia="en-US"/>
    </w:rPr>
  </w:style>
  <w:style w:type="character" w:customStyle="1" w:styleId="Ttulo3Car">
    <w:name w:val="Título 3 Car"/>
    <w:basedOn w:val="Fuentedeprrafopredeter"/>
    <w:link w:val="Ttulo3"/>
    <w:uiPriority w:val="99"/>
    <w:semiHidden/>
    <w:locked/>
    <w:rsid w:val="00507FCD"/>
    <w:rPr>
      <w:rFonts w:ascii="Cambria" w:hAnsi="Cambria" w:cs="Times New Roman"/>
      <w:b/>
      <w:bCs/>
      <w:color w:val="4F81BD"/>
      <w:sz w:val="22"/>
      <w:szCs w:val="22"/>
      <w:lang w:eastAsia="en-US"/>
    </w:rPr>
  </w:style>
  <w:style w:type="paragraph" w:styleId="Piedepgina">
    <w:name w:val="footer"/>
    <w:aliases w:val="Bas de page"/>
    <w:basedOn w:val="Normal"/>
    <w:link w:val="PiedepginaCar"/>
    <w:uiPriority w:val="99"/>
    <w:rsid w:val="0079039E"/>
    <w:pPr>
      <w:tabs>
        <w:tab w:val="center" w:pos="4419"/>
        <w:tab w:val="right" w:pos="8838"/>
      </w:tabs>
    </w:pPr>
    <w:rPr>
      <w:lang w:eastAsia="es-ES"/>
    </w:rPr>
  </w:style>
  <w:style w:type="character" w:customStyle="1" w:styleId="PiedepginaCar">
    <w:name w:val="Pie de página Car"/>
    <w:aliases w:val="Bas de page Car"/>
    <w:basedOn w:val="Fuentedeprrafopredeter"/>
    <w:link w:val="Piedepgina"/>
    <w:uiPriority w:val="99"/>
    <w:locked/>
    <w:rsid w:val="0079039E"/>
    <w:rPr>
      <w:rFonts w:ascii="Arial Narrow" w:hAnsi="Arial Narrow" w:cs="Times New Roman"/>
      <w:sz w:val="22"/>
      <w:lang w:val="es-CO" w:eastAsia="es-ES"/>
    </w:rPr>
  </w:style>
  <w:style w:type="paragraph" w:customStyle="1" w:styleId="Prrafodelista1">
    <w:name w:val="Párrafo de lista1"/>
    <w:basedOn w:val="Normal"/>
    <w:uiPriority w:val="99"/>
    <w:rsid w:val="0079039E"/>
    <w:pPr>
      <w:spacing w:after="200" w:line="276" w:lineRule="auto"/>
      <w:ind w:left="720"/>
      <w:contextualSpacing/>
      <w:jc w:val="left"/>
    </w:pPr>
    <w:rPr>
      <w:rFonts w:ascii="Calibri" w:hAnsi="Calibri"/>
    </w:rPr>
  </w:style>
  <w:style w:type="paragraph" w:styleId="Encabezado">
    <w:name w:val="header"/>
    <w:basedOn w:val="Normal"/>
    <w:link w:val="EncabezadoCar"/>
    <w:uiPriority w:val="99"/>
    <w:semiHidden/>
    <w:rsid w:val="0079039E"/>
    <w:pPr>
      <w:tabs>
        <w:tab w:val="center" w:pos="4419"/>
        <w:tab w:val="right" w:pos="8838"/>
      </w:tabs>
      <w:spacing w:line="240" w:lineRule="auto"/>
    </w:pPr>
    <w:rPr>
      <w:lang w:eastAsia="es-ES"/>
    </w:rPr>
  </w:style>
  <w:style w:type="character" w:customStyle="1" w:styleId="EncabezadoCar">
    <w:name w:val="Encabezado Car"/>
    <w:basedOn w:val="Fuentedeprrafopredeter"/>
    <w:link w:val="Encabezado"/>
    <w:uiPriority w:val="99"/>
    <w:semiHidden/>
    <w:locked/>
    <w:rsid w:val="0079039E"/>
    <w:rPr>
      <w:rFonts w:ascii="Arial Narrow" w:hAnsi="Arial Narrow" w:cs="Times New Roman"/>
      <w:sz w:val="22"/>
      <w:lang w:val="es-CO" w:eastAsia="es-ES"/>
    </w:rPr>
  </w:style>
  <w:style w:type="character" w:styleId="Nmerodepgina">
    <w:name w:val="page number"/>
    <w:basedOn w:val="Fuentedeprrafopredeter"/>
    <w:uiPriority w:val="99"/>
    <w:rsid w:val="0079039E"/>
    <w:rPr>
      <w:rFonts w:cs="Times New Roman"/>
    </w:rPr>
  </w:style>
  <w:style w:type="character" w:styleId="Refdecomentario">
    <w:name w:val="annotation reference"/>
    <w:basedOn w:val="Fuentedeprrafopredeter"/>
    <w:uiPriority w:val="99"/>
    <w:semiHidden/>
    <w:rsid w:val="00340799"/>
    <w:rPr>
      <w:rFonts w:cs="Times New Roman"/>
      <w:sz w:val="16"/>
    </w:rPr>
  </w:style>
  <w:style w:type="paragraph" w:styleId="Textocomentario">
    <w:name w:val="annotation text"/>
    <w:basedOn w:val="Normal"/>
    <w:link w:val="TextocomentarioCar"/>
    <w:uiPriority w:val="99"/>
    <w:semiHidden/>
    <w:rsid w:val="00340799"/>
    <w:rPr>
      <w:sz w:val="20"/>
      <w:szCs w:val="20"/>
    </w:rPr>
  </w:style>
  <w:style w:type="character" w:customStyle="1" w:styleId="TextocomentarioCar">
    <w:name w:val="Texto comentario Car"/>
    <w:basedOn w:val="Fuentedeprrafopredeter"/>
    <w:link w:val="Textocomentario"/>
    <w:uiPriority w:val="99"/>
    <w:semiHidden/>
    <w:locked/>
    <w:rsid w:val="00340799"/>
    <w:rPr>
      <w:rFonts w:ascii="Arial Narrow" w:hAnsi="Arial Narrow" w:cs="Times New Roman"/>
      <w:lang w:val="es-CO" w:eastAsia="en-US"/>
    </w:rPr>
  </w:style>
  <w:style w:type="paragraph" w:styleId="Textodeglobo">
    <w:name w:val="Balloon Text"/>
    <w:basedOn w:val="Normal"/>
    <w:link w:val="TextodegloboCar"/>
    <w:uiPriority w:val="99"/>
    <w:semiHidden/>
    <w:rsid w:val="0034079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1033E"/>
    <w:rPr>
      <w:rFonts w:cs="Times New Roman"/>
      <w:sz w:val="2"/>
      <w:lang w:eastAsia="en-US"/>
    </w:rPr>
  </w:style>
  <w:style w:type="paragraph" w:styleId="Asuntodelcomentario">
    <w:name w:val="annotation subject"/>
    <w:basedOn w:val="Textocomentario"/>
    <w:next w:val="Textocomentario"/>
    <w:link w:val="AsuntodelcomentarioCar"/>
    <w:uiPriority w:val="99"/>
    <w:semiHidden/>
    <w:rsid w:val="00421309"/>
    <w:rPr>
      <w:b/>
      <w:bCs/>
    </w:rPr>
  </w:style>
  <w:style w:type="character" w:customStyle="1" w:styleId="AsuntodelcomentarioCar">
    <w:name w:val="Asunto del comentario Car"/>
    <w:basedOn w:val="TextocomentarioCar"/>
    <w:link w:val="Asuntodelcomentario"/>
    <w:uiPriority w:val="99"/>
    <w:semiHidden/>
    <w:locked/>
    <w:rsid w:val="0091033E"/>
    <w:rPr>
      <w:rFonts w:ascii="Arial Narrow" w:hAnsi="Arial Narrow" w:cs="Times New Roman"/>
      <w:b/>
      <w:bCs/>
      <w:sz w:val="20"/>
      <w:szCs w:val="20"/>
      <w:lang w:val="es-CO" w:eastAsia="en-US"/>
    </w:rPr>
  </w:style>
  <w:style w:type="table" w:styleId="Tablaconcuadrcula">
    <w:name w:val="Table Grid"/>
    <w:basedOn w:val="Tablanormal"/>
    <w:uiPriority w:val="99"/>
    <w:rsid w:val="00724D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rsid w:val="00724D8F"/>
    <w:rPr>
      <w:b/>
      <w:bCs/>
      <w:sz w:val="20"/>
      <w:szCs w:val="20"/>
    </w:rPr>
  </w:style>
  <w:style w:type="paragraph" w:styleId="Textonotapie">
    <w:name w:val="footnote text"/>
    <w:basedOn w:val="Normal"/>
    <w:link w:val="TextonotapieCar"/>
    <w:uiPriority w:val="99"/>
    <w:rsid w:val="004E6456"/>
    <w:rPr>
      <w:sz w:val="20"/>
      <w:szCs w:val="20"/>
    </w:rPr>
  </w:style>
  <w:style w:type="character" w:customStyle="1" w:styleId="TextonotapieCar">
    <w:name w:val="Texto nota pie Car"/>
    <w:basedOn w:val="Fuentedeprrafopredeter"/>
    <w:link w:val="Textonotapie"/>
    <w:uiPriority w:val="99"/>
    <w:locked/>
    <w:rsid w:val="004E6456"/>
    <w:rPr>
      <w:rFonts w:ascii="Arial Narrow" w:hAnsi="Arial Narrow" w:cs="Times New Roman"/>
      <w:lang w:eastAsia="en-US"/>
    </w:rPr>
  </w:style>
  <w:style w:type="character" w:styleId="Refdenotaalpie">
    <w:name w:val="footnote reference"/>
    <w:basedOn w:val="Fuentedeprrafopredeter"/>
    <w:uiPriority w:val="99"/>
    <w:rsid w:val="004E6456"/>
    <w:rPr>
      <w:rFonts w:cs="Times New Roman"/>
      <w:vertAlign w:val="superscript"/>
    </w:rPr>
  </w:style>
  <w:style w:type="paragraph" w:customStyle="1" w:styleId="Conceptosubtitulo">
    <w:name w:val="Concepto subtitulo"/>
    <w:basedOn w:val="Normal"/>
    <w:autoRedefine/>
    <w:uiPriority w:val="99"/>
    <w:rsid w:val="00B60638"/>
    <w:pPr>
      <w:numPr>
        <w:numId w:val="19"/>
      </w:numPr>
      <w:spacing w:before="120" w:after="120" w:line="252" w:lineRule="auto"/>
    </w:pPr>
    <w:rPr>
      <w:rFonts w:cs="Arial"/>
      <w:b/>
      <w:color w:val="000000"/>
      <w:sz w:val="24"/>
      <w:szCs w:val="23"/>
    </w:rPr>
  </w:style>
  <w:style w:type="paragraph" w:customStyle="1" w:styleId="ConceptoTitulo">
    <w:name w:val="Concepto Titulo"/>
    <w:basedOn w:val="Normal"/>
    <w:autoRedefine/>
    <w:uiPriority w:val="99"/>
    <w:rsid w:val="002E7FCC"/>
    <w:pPr>
      <w:spacing w:before="240" w:after="240" w:line="252" w:lineRule="auto"/>
      <w:jc w:val="center"/>
    </w:pPr>
    <w:rPr>
      <w:rFonts w:cs="Arial"/>
      <w:b/>
      <w:color w:val="000000"/>
      <w:sz w:val="24"/>
      <w:szCs w:val="23"/>
    </w:rPr>
  </w:style>
  <w:style w:type="paragraph" w:customStyle="1" w:styleId="conceptosubtitulo2">
    <w:name w:val="concepto subtitulo 2"/>
    <w:basedOn w:val="Normal"/>
    <w:autoRedefine/>
    <w:uiPriority w:val="99"/>
    <w:rsid w:val="008F7DFA"/>
    <w:pPr>
      <w:spacing w:before="120" w:after="120" w:line="252" w:lineRule="auto"/>
      <w:ind w:left="708"/>
    </w:pPr>
    <w:rPr>
      <w:rFonts w:cs="Arial"/>
      <w:i/>
      <w:color w:val="000000"/>
      <w:sz w:val="23"/>
      <w:szCs w:val="23"/>
    </w:rPr>
  </w:style>
  <w:style w:type="paragraph" w:customStyle="1" w:styleId="conceptosubtitulonumerado">
    <w:name w:val="concepto subtitulo numerado"/>
    <w:basedOn w:val="Normal"/>
    <w:autoRedefine/>
    <w:uiPriority w:val="99"/>
    <w:rsid w:val="008F7DFA"/>
    <w:pPr>
      <w:numPr>
        <w:numId w:val="7"/>
      </w:numPr>
      <w:spacing w:line="252" w:lineRule="auto"/>
    </w:pPr>
    <w:rPr>
      <w:rFonts w:cs="Arial"/>
      <w:b/>
      <w:color w:val="000000"/>
      <w:sz w:val="23"/>
      <w:szCs w:val="23"/>
    </w:rPr>
  </w:style>
  <w:style w:type="paragraph" w:styleId="Prrafodelista">
    <w:name w:val="List Paragraph"/>
    <w:basedOn w:val="Normal"/>
    <w:uiPriority w:val="99"/>
    <w:qFormat/>
    <w:rsid w:val="000B6DF0"/>
    <w:pPr>
      <w:ind w:left="720"/>
      <w:contextualSpacing/>
    </w:pPr>
  </w:style>
  <w:style w:type="character" w:styleId="Ttulodellibro">
    <w:name w:val="Book Title"/>
    <w:basedOn w:val="Fuentedeprrafopredeter"/>
    <w:uiPriority w:val="99"/>
    <w:qFormat/>
    <w:rsid w:val="00510B02"/>
    <w:rPr>
      <w:rFonts w:cs="Times New Roman"/>
      <w:b/>
      <w:bCs/>
      <w:smallCaps/>
      <w:spacing w:val="5"/>
    </w:rPr>
  </w:style>
  <w:style w:type="paragraph" w:customStyle="1" w:styleId="TituloSeccion">
    <w:name w:val="Titulo Seccion"/>
    <w:basedOn w:val="Normal"/>
    <w:uiPriority w:val="99"/>
    <w:rsid w:val="00510B02"/>
    <w:pPr>
      <w:spacing w:line="21" w:lineRule="atLeast"/>
      <w:ind w:left="709"/>
      <w:jc w:val="center"/>
    </w:pPr>
    <w:rPr>
      <w:b/>
    </w:rPr>
  </w:style>
  <w:style w:type="paragraph" w:customStyle="1" w:styleId="elementosist">
    <w:name w:val="elemento sist"/>
    <w:basedOn w:val="Conceptosubtitulo"/>
    <w:uiPriority w:val="99"/>
    <w:rsid w:val="00507FCD"/>
    <w:pPr>
      <w:jc w:val="left"/>
    </w:pPr>
    <w:rPr>
      <w:sz w:val="22"/>
      <w:szCs w:val="22"/>
    </w:rPr>
  </w:style>
  <w:style w:type="paragraph" w:customStyle="1" w:styleId="vietaelemento">
    <w:name w:val="viñeta elemento"/>
    <w:basedOn w:val="Conceptosubtitulo"/>
    <w:next w:val="Normal"/>
    <w:uiPriority w:val="99"/>
    <w:rsid w:val="00507FCD"/>
    <w:pPr>
      <w:numPr>
        <w:ilvl w:val="1"/>
      </w:numPr>
      <w:jc w:val="left"/>
    </w:pPr>
    <w:rPr>
      <w:sz w:val="22"/>
      <w:szCs w:val="22"/>
    </w:rPr>
  </w:style>
  <w:style w:type="paragraph" w:styleId="TDC2">
    <w:name w:val="toc 2"/>
    <w:basedOn w:val="Normal"/>
    <w:next w:val="Normal"/>
    <w:autoRedefine/>
    <w:uiPriority w:val="39"/>
    <w:rsid w:val="00B1254E"/>
    <w:pPr>
      <w:tabs>
        <w:tab w:val="left" w:pos="720"/>
        <w:tab w:val="right" w:leader="dot" w:pos="8828"/>
      </w:tabs>
      <w:spacing w:after="100"/>
      <w:ind w:left="709" w:hanging="489"/>
      <w:jc w:val="center"/>
    </w:pPr>
    <w:rPr>
      <w:b/>
      <w:color w:val="000000"/>
    </w:rPr>
  </w:style>
  <w:style w:type="paragraph" w:styleId="TDC1">
    <w:name w:val="toc 1"/>
    <w:basedOn w:val="Normal"/>
    <w:next w:val="Normal"/>
    <w:autoRedefine/>
    <w:uiPriority w:val="39"/>
    <w:rsid w:val="00B07C0C"/>
    <w:pPr>
      <w:tabs>
        <w:tab w:val="right" w:leader="dot" w:pos="8931"/>
      </w:tabs>
      <w:spacing w:after="100"/>
      <w:ind w:left="720" w:right="-93"/>
    </w:pPr>
  </w:style>
  <w:style w:type="paragraph" w:styleId="TDC3">
    <w:name w:val="toc 3"/>
    <w:basedOn w:val="Normal"/>
    <w:next w:val="Normal"/>
    <w:autoRedefine/>
    <w:uiPriority w:val="39"/>
    <w:rsid w:val="00AF2B0E"/>
    <w:pPr>
      <w:tabs>
        <w:tab w:val="left" w:pos="880"/>
        <w:tab w:val="right" w:leader="dot" w:pos="8828"/>
      </w:tabs>
      <w:spacing w:after="100"/>
      <w:ind w:left="851" w:hanging="709"/>
    </w:pPr>
  </w:style>
  <w:style w:type="character" w:styleId="Hipervnculo">
    <w:name w:val="Hyperlink"/>
    <w:basedOn w:val="Fuentedeprrafopredeter"/>
    <w:uiPriority w:val="99"/>
    <w:rsid w:val="00507FCD"/>
    <w:rPr>
      <w:rFonts w:cs="Times New Roman"/>
      <w:color w:val="0000FF"/>
      <w:u w:val="single"/>
    </w:rPr>
  </w:style>
  <w:style w:type="table" w:customStyle="1" w:styleId="Tablaconcuadrcula1">
    <w:name w:val="Tabla con cuadrícula1"/>
    <w:basedOn w:val="Tablanormal"/>
    <w:next w:val="Tablaconcuadrcula"/>
    <w:uiPriority w:val="59"/>
    <w:rsid w:val="00E7291E"/>
    <w:rPr>
      <w:rFonts w:asciiTheme="minorHAnsi" w:eastAsiaTheme="minorEastAsia"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E7291E"/>
    <w:rPr>
      <w:rFonts w:asciiTheme="minorHAnsi" w:eastAsiaTheme="minorEastAsia"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83675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39E"/>
    <w:pPr>
      <w:spacing w:line="264" w:lineRule="auto"/>
      <w:jc w:val="both"/>
    </w:pPr>
    <w:rPr>
      <w:rFonts w:ascii="Arial Narrow" w:hAnsi="Arial Narrow"/>
      <w:lang w:eastAsia="en-US"/>
    </w:rPr>
  </w:style>
  <w:style w:type="paragraph" w:styleId="Ttulo1">
    <w:name w:val="heading 1"/>
    <w:aliases w:val="Titulo Unidad"/>
    <w:basedOn w:val="Normal"/>
    <w:next w:val="Normal"/>
    <w:link w:val="Ttulo1Car"/>
    <w:autoRedefine/>
    <w:uiPriority w:val="99"/>
    <w:qFormat/>
    <w:rsid w:val="0079039E"/>
    <w:pPr>
      <w:keepNext/>
      <w:numPr>
        <w:ilvl w:val="1"/>
        <w:numId w:val="1"/>
      </w:numPr>
      <w:spacing w:line="240" w:lineRule="auto"/>
      <w:outlineLvl w:val="0"/>
    </w:pPr>
    <w:rPr>
      <w:b/>
      <w:bCs/>
      <w:i/>
      <w:sz w:val="20"/>
      <w:szCs w:val="20"/>
      <w:lang w:eastAsia="es-ES"/>
    </w:rPr>
  </w:style>
  <w:style w:type="paragraph" w:styleId="Ttulo2">
    <w:name w:val="heading 2"/>
    <w:basedOn w:val="Normal"/>
    <w:next w:val="Normal"/>
    <w:link w:val="Ttulo2Car"/>
    <w:uiPriority w:val="99"/>
    <w:qFormat/>
    <w:rsid w:val="00507FCD"/>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9"/>
    <w:qFormat/>
    <w:rsid w:val="00507FCD"/>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Unidad Car"/>
    <w:basedOn w:val="Fuentedeprrafopredeter"/>
    <w:link w:val="Ttulo1"/>
    <w:uiPriority w:val="99"/>
    <w:locked/>
    <w:rsid w:val="0079039E"/>
    <w:rPr>
      <w:rFonts w:ascii="Arial Narrow" w:hAnsi="Arial Narrow" w:cs="Times New Roman"/>
      <w:b/>
      <w:i/>
      <w:lang w:eastAsia="es-ES"/>
    </w:rPr>
  </w:style>
  <w:style w:type="character" w:customStyle="1" w:styleId="Ttulo2Car">
    <w:name w:val="Título 2 Car"/>
    <w:basedOn w:val="Fuentedeprrafopredeter"/>
    <w:link w:val="Ttulo2"/>
    <w:uiPriority w:val="99"/>
    <w:semiHidden/>
    <w:locked/>
    <w:rsid w:val="00507FCD"/>
    <w:rPr>
      <w:rFonts w:ascii="Cambria" w:hAnsi="Cambria" w:cs="Times New Roman"/>
      <w:b/>
      <w:bCs/>
      <w:color w:val="4F81BD"/>
      <w:sz w:val="26"/>
      <w:szCs w:val="26"/>
      <w:lang w:eastAsia="en-US"/>
    </w:rPr>
  </w:style>
  <w:style w:type="character" w:customStyle="1" w:styleId="Ttulo3Car">
    <w:name w:val="Título 3 Car"/>
    <w:basedOn w:val="Fuentedeprrafopredeter"/>
    <w:link w:val="Ttulo3"/>
    <w:uiPriority w:val="99"/>
    <w:semiHidden/>
    <w:locked/>
    <w:rsid w:val="00507FCD"/>
    <w:rPr>
      <w:rFonts w:ascii="Cambria" w:hAnsi="Cambria" w:cs="Times New Roman"/>
      <w:b/>
      <w:bCs/>
      <w:color w:val="4F81BD"/>
      <w:sz w:val="22"/>
      <w:szCs w:val="22"/>
      <w:lang w:eastAsia="en-US"/>
    </w:rPr>
  </w:style>
  <w:style w:type="paragraph" w:styleId="Piedepgina">
    <w:name w:val="footer"/>
    <w:aliases w:val="Bas de page"/>
    <w:basedOn w:val="Normal"/>
    <w:link w:val="PiedepginaCar"/>
    <w:uiPriority w:val="99"/>
    <w:rsid w:val="0079039E"/>
    <w:pPr>
      <w:tabs>
        <w:tab w:val="center" w:pos="4419"/>
        <w:tab w:val="right" w:pos="8838"/>
      </w:tabs>
    </w:pPr>
    <w:rPr>
      <w:lang w:eastAsia="es-ES"/>
    </w:rPr>
  </w:style>
  <w:style w:type="character" w:customStyle="1" w:styleId="PiedepginaCar">
    <w:name w:val="Pie de página Car"/>
    <w:aliases w:val="Bas de page Car"/>
    <w:basedOn w:val="Fuentedeprrafopredeter"/>
    <w:link w:val="Piedepgina"/>
    <w:uiPriority w:val="99"/>
    <w:locked/>
    <w:rsid w:val="0079039E"/>
    <w:rPr>
      <w:rFonts w:ascii="Arial Narrow" w:hAnsi="Arial Narrow" w:cs="Times New Roman"/>
      <w:sz w:val="22"/>
      <w:lang w:val="es-CO" w:eastAsia="es-ES"/>
    </w:rPr>
  </w:style>
  <w:style w:type="paragraph" w:customStyle="1" w:styleId="Prrafodelista1">
    <w:name w:val="Párrafo de lista1"/>
    <w:basedOn w:val="Normal"/>
    <w:uiPriority w:val="99"/>
    <w:rsid w:val="0079039E"/>
    <w:pPr>
      <w:spacing w:after="200" w:line="276" w:lineRule="auto"/>
      <w:ind w:left="720"/>
      <w:contextualSpacing/>
      <w:jc w:val="left"/>
    </w:pPr>
    <w:rPr>
      <w:rFonts w:ascii="Calibri" w:hAnsi="Calibri"/>
    </w:rPr>
  </w:style>
  <w:style w:type="paragraph" w:styleId="Encabezado">
    <w:name w:val="header"/>
    <w:basedOn w:val="Normal"/>
    <w:link w:val="EncabezadoCar"/>
    <w:uiPriority w:val="99"/>
    <w:semiHidden/>
    <w:rsid w:val="0079039E"/>
    <w:pPr>
      <w:tabs>
        <w:tab w:val="center" w:pos="4419"/>
        <w:tab w:val="right" w:pos="8838"/>
      </w:tabs>
      <w:spacing w:line="240" w:lineRule="auto"/>
    </w:pPr>
    <w:rPr>
      <w:lang w:eastAsia="es-ES"/>
    </w:rPr>
  </w:style>
  <w:style w:type="character" w:customStyle="1" w:styleId="EncabezadoCar">
    <w:name w:val="Encabezado Car"/>
    <w:basedOn w:val="Fuentedeprrafopredeter"/>
    <w:link w:val="Encabezado"/>
    <w:uiPriority w:val="99"/>
    <w:semiHidden/>
    <w:locked/>
    <w:rsid w:val="0079039E"/>
    <w:rPr>
      <w:rFonts w:ascii="Arial Narrow" w:hAnsi="Arial Narrow" w:cs="Times New Roman"/>
      <w:sz w:val="22"/>
      <w:lang w:val="es-CO" w:eastAsia="es-ES"/>
    </w:rPr>
  </w:style>
  <w:style w:type="character" w:styleId="Nmerodepgina">
    <w:name w:val="page number"/>
    <w:basedOn w:val="Fuentedeprrafopredeter"/>
    <w:uiPriority w:val="99"/>
    <w:rsid w:val="0079039E"/>
    <w:rPr>
      <w:rFonts w:cs="Times New Roman"/>
    </w:rPr>
  </w:style>
  <w:style w:type="character" w:styleId="Refdecomentario">
    <w:name w:val="annotation reference"/>
    <w:basedOn w:val="Fuentedeprrafopredeter"/>
    <w:uiPriority w:val="99"/>
    <w:semiHidden/>
    <w:rsid w:val="00340799"/>
    <w:rPr>
      <w:rFonts w:cs="Times New Roman"/>
      <w:sz w:val="16"/>
    </w:rPr>
  </w:style>
  <w:style w:type="paragraph" w:styleId="Textocomentario">
    <w:name w:val="annotation text"/>
    <w:basedOn w:val="Normal"/>
    <w:link w:val="TextocomentarioCar"/>
    <w:uiPriority w:val="99"/>
    <w:semiHidden/>
    <w:rsid w:val="00340799"/>
    <w:rPr>
      <w:sz w:val="20"/>
      <w:szCs w:val="20"/>
    </w:rPr>
  </w:style>
  <w:style w:type="character" w:customStyle="1" w:styleId="TextocomentarioCar">
    <w:name w:val="Texto comentario Car"/>
    <w:basedOn w:val="Fuentedeprrafopredeter"/>
    <w:link w:val="Textocomentario"/>
    <w:uiPriority w:val="99"/>
    <w:semiHidden/>
    <w:locked/>
    <w:rsid w:val="00340799"/>
    <w:rPr>
      <w:rFonts w:ascii="Arial Narrow" w:hAnsi="Arial Narrow" w:cs="Times New Roman"/>
      <w:lang w:val="es-CO" w:eastAsia="en-US"/>
    </w:rPr>
  </w:style>
  <w:style w:type="paragraph" w:styleId="Textodeglobo">
    <w:name w:val="Balloon Text"/>
    <w:basedOn w:val="Normal"/>
    <w:link w:val="TextodegloboCar"/>
    <w:uiPriority w:val="99"/>
    <w:semiHidden/>
    <w:rsid w:val="0034079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1033E"/>
    <w:rPr>
      <w:rFonts w:cs="Times New Roman"/>
      <w:sz w:val="2"/>
      <w:lang w:eastAsia="en-US"/>
    </w:rPr>
  </w:style>
  <w:style w:type="paragraph" w:styleId="Asuntodelcomentario">
    <w:name w:val="annotation subject"/>
    <w:basedOn w:val="Textocomentario"/>
    <w:next w:val="Textocomentario"/>
    <w:link w:val="AsuntodelcomentarioCar"/>
    <w:uiPriority w:val="99"/>
    <w:semiHidden/>
    <w:rsid w:val="00421309"/>
    <w:rPr>
      <w:b/>
      <w:bCs/>
    </w:rPr>
  </w:style>
  <w:style w:type="character" w:customStyle="1" w:styleId="AsuntodelcomentarioCar">
    <w:name w:val="Asunto del comentario Car"/>
    <w:basedOn w:val="TextocomentarioCar"/>
    <w:link w:val="Asuntodelcomentario"/>
    <w:uiPriority w:val="99"/>
    <w:semiHidden/>
    <w:locked/>
    <w:rsid w:val="0091033E"/>
    <w:rPr>
      <w:rFonts w:ascii="Arial Narrow" w:hAnsi="Arial Narrow" w:cs="Times New Roman"/>
      <w:b/>
      <w:bCs/>
      <w:sz w:val="20"/>
      <w:szCs w:val="20"/>
      <w:lang w:val="es-CO" w:eastAsia="en-US"/>
    </w:rPr>
  </w:style>
  <w:style w:type="table" w:styleId="Tablaconcuadrcula">
    <w:name w:val="Table Grid"/>
    <w:basedOn w:val="Tablanormal"/>
    <w:uiPriority w:val="99"/>
    <w:rsid w:val="00724D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99"/>
    <w:qFormat/>
    <w:rsid w:val="00724D8F"/>
    <w:rPr>
      <w:b/>
      <w:bCs/>
      <w:sz w:val="20"/>
      <w:szCs w:val="20"/>
    </w:rPr>
  </w:style>
  <w:style w:type="paragraph" w:styleId="Textonotapie">
    <w:name w:val="footnote text"/>
    <w:basedOn w:val="Normal"/>
    <w:link w:val="TextonotapieCar"/>
    <w:uiPriority w:val="99"/>
    <w:rsid w:val="004E6456"/>
    <w:rPr>
      <w:sz w:val="20"/>
      <w:szCs w:val="20"/>
    </w:rPr>
  </w:style>
  <w:style w:type="character" w:customStyle="1" w:styleId="TextonotapieCar">
    <w:name w:val="Texto nota pie Car"/>
    <w:basedOn w:val="Fuentedeprrafopredeter"/>
    <w:link w:val="Textonotapie"/>
    <w:uiPriority w:val="99"/>
    <w:locked/>
    <w:rsid w:val="004E6456"/>
    <w:rPr>
      <w:rFonts w:ascii="Arial Narrow" w:hAnsi="Arial Narrow" w:cs="Times New Roman"/>
      <w:lang w:eastAsia="en-US"/>
    </w:rPr>
  </w:style>
  <w:style w:type="character" w:styleId="Refdenotaalpie">
    <w:name w:val="footnote reference"/>
    <w:basedOn w:val="Fuentedeprrafopredeter"/>
    <w:uiPriority w:val="99"/>
    <w:rsid w:val="004E6456"/>
    <w:rPr>
      <w:rFonts w:cs="Times New Roman"/>
      <w:vertAlign w:val="superscript"/>
    </w:rPr>
  </w:style>
  <w:style w:type="paragraph" w:customStyle="1" w:styleId="Conceptosubtitulo">
    <w:name w:val="Concepto subtitulo"/>
    <w:basedOn w:val="Normal"/>
    <w:autoRedefine/>
    <w:uiPriority w:val="99"/>
    <w:rsid w:val="00B60638"/>
    <w:pPr>
      <w:numPr>
        <w:numId w:val="19"/>
      </w:numPr>
      <w:spacing w:before="120" w:after="120" w:line="252" w:lineRule="auto"/>
    </w:pPr>
    <w:rPr>
      <w:rFonts w:cs="Arial"/>
      <w:b/>
      <w:color w:val="000000"/>
      <w:sz w:val="24"/>
      <w:szCs w:val="23"/>
    </w:rPr>
  </w:style>
  <w:style w:type="paragraph" w:customStyle="1" w:styleId="ConceptoTitulo">
    <w:name w:val="Concepto Titulo"/>
    <w:basedOn w:val="Normal"/>
    <w:autoRedefine/>
    <w:uiPriority w:val="99"/>
    <w:rsid w:val="002E7FCC"/>
    <w:pPr>
      <w:spacing w:before="240" w:after="240" w:line="252" w:lineRule="auto"/>
      <w:jc w:val="center"/>
    </w:pPr>
    <w:rPr>
      <w:rFonts w:cs="Arial"/>
      <w:b/>
      <w:color w:val="000000"/>
      <w:sz w:val="24"/>
      <w:szCs w:val="23"/>
    </w:rPr>
  </w:style>
  <w:style w:type="paragraph" w:customStyle="1" w:styleId="conceptosubtitulo2">
    <w:name w:val="concepto subtitulo 2"/>
    <w:basedOn w:val="Normal"/>
    <w:autoRedefine/>
    <w:uiPriority w:val="99"/>
    <w:rsid w:val="008F7DFA"/>
    <w:pPr>
      <w:spacing w:before="120" w:after="120" w:line="252" w:lineRule="auto"/>
      <w:ind w:left="708"/>
    </w:pPr>
    <w:rPr>
      <w:rFonts w:cs="Arial"/>
      <w:i/>
      <w:color w:val="000000"/>
      <w:sz w:val="23"/>
      <w:szCs w:val="23"/>
    </w:rPr>
  </w:style>
  <w:style w:type="paragraph" w:customStyle="1" w:styleId="conceptosubtitulonumerado">
    <w:name w:val="concepto subtitulo numerado"/>
    <w:basedOn w:val="Normal"/>
    <w:autoRedefine/>
    <w:uiPriority w:val="99"/>
    <w:rsid w:val="008F7DFA"/>
    <w:pPr>
      <w:numPr>
        <w:numId w:val="7"/>
      </w:numPr>
      <w:spacing w:line="252" w:lineRule="auto"/>
    </w:pPr>
    <w:rPr>
      <w:rFonts w:cs="Arial"/>
      <w:b/>
      <w:color w:val="000000"/>
      <w:sz w:val="23"/>
      <w:szCs w:val="23"/>
    </w:rPr>
  </w:style>
  <w:style w:type="paragraph" w:styleId="Prrafodelista">
    <w:name w:val="List Paragraph"/>
    <w:basedOn w:val="Normal"/>
    <w:uiPriority w:val="99"/>
    <w:qFormat/>
    <w:rsid w:val="000B6DF0"/>
    <w:pPr>
      <w:ind w:left="720"/>
      <w:contextualSpacing/>
    </w:pPr>
  </w:style>
  <w:style w:type="character" w:styleId="Ttulodellibro">
    <w:name w:val="Book Title"/>
    <w:basedOn w:val="Fuentedeprrafopredeter"/>
    <w:uiPriority w:val="99"/>
    <w:qFormat/>
    <w:rsid w:val="00510B02"/>
    <w:rPr>
      <w:rFonts w:cs="Times New Roman"/>
      <w:b/>
      <w:bCs/>
      <w:smallCaps/>
      <w:spacing w:val="5"/>
    </w:rPr>
  </w:style>
  <w:style w:type="paragraph" w:customStyle="1" w:styleId="TituloSeccion">
    <w:name w:val="Titulo Seccion"/>
    <w:basedOn w:val="Normal"/>
    <w:uiPriority w:val="99"/>
    <w:rsid w:val="00510B02"/>
    <w:pPr>
      <w:spacing w:line="21" w:lineRule="atLeast"/>
      <w:ind w:left="709"/>
      <w:jc w:val="center"/>
    </w:pPr>
    <w:rPr>
      <w:b/>
    </w:rPr>
  </w:style>
  <w:style w:type="paragraph" w:customStyle="1" w:styleId="elementosist">
    <w:name w:val="elemento sist"/>
    <w:basedOn w:val="Conceptosubtitulo"/>
    <w:uiPriority w:val="99"/>
    <w:rsid w:val="00507FCD"/>
    <w:pPr>
      <w:jc w:val="left"/>
    </w:pPr>
    <w:rPr>
      <w:sz w:val="22"/>
      <w:szCs w:val="22"/>
    </w:rPr>
  </w:style>
  <w:style w:type="paragraph" w:customStyle="1" w:styleId="vietaelemento">
    <w:name w:val="viñeta elemento"/>
    <w:basedOn w:val="Conceptosubtitulo"/>
    <w:next w:val="Normal"/>
    <w:uiPriority w:val="99"/>
    <w:rsid w:val="00507FCD"/>
    <w:pPr>
      <w:numPr>
        <w:ilvl w:val="1"/>
      </w:numPr>
      <w:jc w:val="left"/>
    </w:pPr>
    <w:rPr>
      <w:sz w:val="22"/>
      <w:szCs w:val="22"/>
    </w:rPr>
  </w:style>
  <w:style w:type="paragraph" w:styleId="TDC2">
    <w:name w:val="toc 2"/>
    <w:basedOn w:val="Normal"/>
    <w:next w:val="Normal"/>
    <w:autoRedefine/>
    <w:uiPriority w:val="39"/>
    <w:rsid w:val="00B1254E"/>
    <w:pPr>
      <w:tabs>
        <w:tab w:val="left" w:pos="720"/>
        <w:tab w:val="right" w:leader="dot" w:pos="8828"/>
      </w:tabs>
      <w:spacing w:after="100"/>
      <w:ind w:left="709" w:hanging="489"/>
      <w:jc w:val="center"/>
    </w:pPr>
    <w:rPr>
      <w:b/>
      <w:color w:val="000000"/>
    </w:rPr>
  </w:style>
  <w:style w:type="paragraph" w:styleId="TDC1">
    <w:name w:val="toc 1"/>
    <w:basedOn w:val="Normal"/>
    <w:next w:val="Normal"/>
    <w:autoRedefine/>
    <w:uiPriority w:val="39"/>
    <w:rsid w:val="00B07C0C"/>
    <w:pPr>
      <w:tabs>
        <w:tab w:val="right" w:leader="dot" w:pos="8931"/>
      </w:tabs>
      <w:spacing w:after="100"/>
      <w:ind w:left="720" w:right="-93"/>
    </w:pPr>
  </w:style>
  <w:style w:type="paragraph" w:styleId="TDC3">
    <w:name w:val="toc 3"/>
    <w:basedOn w:val="Normal"/>
    <w:next w:val="Normal"/>
    <w:autoRedefine/>
    <w:uiPriority w:val="39"/>
    <w:rsid w:val="00AF2B0E"/>
    <w:pPr>
      <w:tabs>
        <w:tab w:val="left" w:pos="880"/>
        <w:tab w:val="right" w:leader="dot" w:pos="8828"/>
      </w:tabs>
      <w:spacing w:after="100"/>
      <w:ind w:left="851" w:hanging="709"/>
    </w:pPr>
  </w:style>
  <w:style w:type="character" w:styleId="Hipervnculo">
    <w:name w:val="Hyperlink"/>
    <w:basedOn w:val="Fuentedeprrafopredeter"/>
    <w:uiPriority w:val="99"/>
    <w:rsid w:val="00507FCD"/>
    <w:rPr>
      <w:rFonts w:cs="Times New Roman"/>
      <w:color w:val="0000FF"/>
      <w:u w:val="single"/>
    </w:rPr>
  </w:style>
  <w:style w:type="table" w:customStyle="1" w:styleId="Tablaconcuadrcula1">
    <w:name w:val="Tabla con cuadrícula1"/>
    <w:basedOn w:val="Tablanormal"/>
    <w:next w:val="Tablaconcuadrcula"/>
    <w:uiPriority w:val="59"/>
    <w:rsid w:val="00E7291E"/>
    <w:rPr>
      <w:rFonts w:asciiTheme="minorHAnsi" w:eastAsiaTheme="minorEastAsia"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E7291E"/>
    <w:rPr>
      <w:rFonts w:asciiTheme="minorHAnsi" w:eastAsiaTheme="minorEastAsia"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8367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5456</Words>
  <Characters>30011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CONCEPTO TECNICO No</vt:lpstr>
    </vt:vector>
  </TitlesOfParts>
  <Company>MAVDT</Company>
  <LinksUpToDate>false</LinksUpToDate>
  <CharactersWithSpaces>35397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CONCEPTO TECNICO No</dc:title>
  <dc:creator>amhernandez</dc:creator>
  <cp:lastModifiedBy>Maria Lourdes Zimmermann Cuello</cp:lastModifiedBy>
  <cp:revision>2</cp:revision>
  <cp:lastPrinted>2012-03-26T23:07:00Z</cp:lastPrinted>
  <dcterms:created xsi:type="dcterms:W3CDTF">2013-01-14T21:04:00Z</dcterms:created>
  <dcterms:modified xsi:type="dcterms:W3CDTF">2013-01-14T21:04:00Z</dcterms:modified>
</cp:coreProperties>
</file>