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3AB34" w14:textId="77777777" w:rsidR="00881D32" w:rsidRPr="005E6E0E" w:rsidRDefault="00881D32" w:rsidP="004E2DB1">
      <w:pPr>
        <w:jc w:val="center"/>
        <w:rPr>
          <w:rFonts w:ascii="Arial" w:hAnsi="Arial" w:cs="Arial"/>
          <w:sz w:val="16"/>
          <w:lang w:val="es-CO"/>
        </w:rPr>
      </w:pPr>
      <w:r w:rsidRPr="005E6E0E">
        <w:rPr>
          <w:rFonts w:ascii="Arial" w:hAnsi="Arial" w:cs="Arial"/>
          <w:b/>
          <w:sz w:val="20"/>
          <w:lang w:val="es-CO"/>
        </w:rPr>
        <w:t xml:space="preserve">DECLARACIÓN DE CONFORMIDAD </w:t>
      </w:r>
      <w:r w:rsidR="004A64C2" w:rsidRPr="005E6E0E">
        <w:rPr>
          <w:rFonts w:ascii="Arial" w:hAnsi="Arial" w:cs="Arial"/>
          <w:b/>
          <w:sz w:val="20"/>
          <w:lang w:val="es-CO"/>
        </w:rPr>
        <w:t>No. _______</w:t>
      </w:r>
    </w:p>
    <w:tbl>
      <w:tblPr>
        <w:tblStyle w:val="Tablaconcuadrcula"/>
        <w:tblW w:w="9584" w:type="dxa"/>
        <w:jc w:val="center"/>
        <w:tblLook w:val="04A0" w:firstRow="1" w:lastRow="0" w:firstColumn="1" w:lastColumn="0" w:noHBand="0" w:noVBand="1"/>
      </w:tblPr>
      <w:tblGrid>
        <w:gridCol w:w="2122"/>
        <w:gridCol w:w="1318"/>
        <w:gridCol w:w="851"/>
        <w:gridCol w:w="696"/>
        <w:gridCol w:w="200"/>
        <w:gridCol w:w="36"/>
        <w:gridCol w:w="30"/>
        <w:gridCol w:w="1068"/>
        <w:gridCol w:w="518"/>
        <w:gridCol w:w="409"/>
        <w:gridCol w:w="725"/>
        <w:gridCol w:w="1225"/>
        <w:gridCol w:w="386"/>
      </w:tblGrid>
      <w:tr w:rsidR="005E6E0E" w:rsidRPr="005E6E0E" w14:paraId="7CF3AB38" w14:textId="77777777" w:rsidTr="00D52BEF">
        <w:trPr>
          <w:trHeight w:val="292"/>
          <w:jc w:val="center"/>
        </w:trPr>
        <w:tc>
          <w:tcPr>
            <w:tcW w:w="2122" w:type="dxa"/>
          </w:tcPr>
          <w:p w14:paraId="7CF3AB35" w14:textId="77777777" w:rsidR="000A482A" w:rsidRPr="00A405CA" w:rsidRDefault="00573943" w:rsidP="00C76277">
            <w:pPr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Nombre del emisor</w:t>
            </w:r>
          </w:p>
          <w:p w14:paraId="7CF3AB36" w14:textId="77777777" w:rsidR="00573943" w:rsidRPr="00A405CA" w:rsidRDefault="000A482A" w:rsidP="00C76277">
            <w:pPr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(empresa solicitante</w:t>
            </w:r>
            <w:r w:rsidR="0035291F" w:rsidRPr="00A405CA">
              <w:rPr>
                <w:rFonts w:ascii="Arial" w:hAnsi="Arial" w:cs="Arial"/>
                <w:sz w:val="18"/>
                <w:lang w:val="es-CO"/>
              </w:rPr>
              <w:t xml:space="preserve"> y/o persona natural</w:t>
            </w:r>
            <w:r w:rsidRPr="00A405CA">
              <w:rPr>
                <w:rFonts w:ascii="Arial" w:hAnsi="Arial" w:cs="Arial"/>
                <w:sz w:val="18"/>
                <w:lang w:val="es-CO"/>
              </w:rPr>
              <w:t>)</w:t>
            </w:r>
            <w:r w:rsidR="00573943" w:rsidRPr="00A405CA">
              <w:rPr>
                <w:rFonts w:ascii="Arial" w:hAnsi="Arial" w:cs="Arial"/>
                <w:sz w:val="18"/>
                <w:lang w:val="es-CO"/>
              </w:rPr>
              <w:t>:</w:t>
            </w:r>
          </w:p>
        </w:tc>
        <w:tc>
          <w:tcPr>
            <w:tcW w:w="7462" w:type="dxa"/>
            <w:gridSpan w:val="12"/>
          </w:tcPr>
          <w:p w14:paraId="7CF3AB37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573943" w:rsidRPr="005E6E0E" w14:paraId="7CF3AB3A" w14:textId="77777777" w:rsidTr="00D52BEF">
        <w:trPr>
          <w:jc w:val="center"/>
        </w:trPr>
        <w:tc>
          <w:tcPr>
            <w:tcW w:w="9584" w:type="dxa"/>
            <w:gridSpan w:val="13"/>
          </w:tcPr>
          <w:p w14:paraId="7CF3AB39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Actúa en calidad de</w:t>
            </w:r>
            <w:r w:rsidR="00C76277" w:rsidRPr="00A405CA">
              <w:rPr>
                <w:rFonts w:ascii="Arial" w:hAnsi="Arial" w:cs="Arial"/>
                <w:sz w:val="18"/>
                <w:lang w:val="es-CO"/>
              </w:rPr>
              <w:t>: (M</w:t>
            </w:r>
            <w:r w:rsidRPr="00A405CA">
              <w:rPr>
                <w:rFonts w:ascii="Arial" w:hAnsi="Arial" w:cs="Arial"/>
                <w:sz w:val="18"/>
                <w:lang w:val="es-CO"/>
              </w:rPr>
              <w:t xml:space="preserve">arque con una “X” </w:t>
            </w:r>
            <w:r w:rsidR="00130C38" w:rsidRPr="00A405CA">
              <w:rPr>
                <w:rFonts w:ascii="Arial" w:hAnsi="Arial" w:cs="Arial"/>
                <w:sz w:val="18"/>
                <w:lang w:val="es-CO"/>
              </w:rPr>
              <w:t xml:space="preserve">las siguientes casillas </w:t>
            </w:r>
            <w:r w:rsidRPr="00A405CA">
              <w:rPr>
                <w:rFonts w:ascii="Arial" w:hAnsi="Arial" w:cs="Arial"/>
                <w:sz w:val="18"/>
                <w:lang w:val="es-CO"/>
              </w:rPr>
              <w:t>según corresponda)</w:t>
            </w:r>
          </w:p>
        </w:tc>
      </w:tr>
      <w:tr w:rsidR="000A482A" w:rsidRPr="005E6E0E" w14:paraId="7CF3AB43" w14:textId="77777777" w:rsidTr="00D52BEF">
        <w:trPr>
          <w:jc w:val="center"/>
        </w:trPr>
        <w:tc>
          <w:tcPr>
            <w:tcW w:w="2122" w:type="dxa"/>
          </w:tcPr>
          <w:p w14:paraId="7CF3AB3B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Fabricante</w:t>
            </w:r>
          </w:p>
        </w:tc>
        <w:tc>
          <w:tcPr>
            <w:tcW w:w="1318" w:type="dxa"/>
          </w:tcPr>
          <w:p w14:paraId="7CF3AB3C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547" w:type="dxa"/>
            <w:gridSpan w:val="2"/>
          </w:tcPr>
          <w:p w14:paraId="7CF3AB3D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Importador</w:t>
            </w:r>
          </w:p>
        </w:tc>
        <w:tc>
          <w:tcPr>
            <w:tcW w:w="236" w:type="dxa"/>
            <w:gridSpan w:val="2"/>
          </w:tcPr>
          <w:p w14:paraId="7CF3AB3E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098" w:type="dxa"/>
            <w:gridSpan w:val="2"/>
          </w:tcPr>
          <w:p w14:paraId="7CF3AB3F" w14:textId="77777777" w:rsidR="00573943" w:rsidRPr="00A405CA" w:rsidRDefault="00573943" w:rsidP="007F01A4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 xml:space="preserve">Titular </w:t>
            </w:r>
            <w:r w:rsidRPr="00A405CA">
              <w:rPr>
                <w:rFonts w:ascii="Arial" w:hAnsi="Arial" w:cs="Arial"/>
                <w:sz w:val="12"/>
                <w:lang w:val="es-CO"/>
              </w:rPr>
              <w:t>(en</w:t>
            </w:r>
            <w:r w:rsidR="007F01A4" w:rsidRPr="00A405CA">
              <w:rPr>
                <w:rFonts w:ascii="Arial" w:hAnsi="Arial" w:cs="Arial"/>
                <w:sz w:val="12"/>
                <w:lang w:val="es-CO"/>
              </w:rPr>
              <w:t xml:space="preserve"> caso de </w:t>
            </w:r>
            <w:r w:rsidRPr="00A405CA">
              <w:rPr>
                <w:rFonts w:ascii="Arial" w:hAnsi="Arial" w:cs="Arial"/>
                <w:sz w:val="12"/>
                <w:lang w:val="es-CO"/>
              </w:rPr>
              <w:t>registro sanitario Invima o Notificación Sanitaria Obligatoria Invima)</w:t>
            </w:r>
          </w:p>
        </w:tc>
        <w:tc>
          <w:tcPr>
            <w:tcW w:w="927" w:type="dxa"/>
            <w:gridSpan w:val="2"/>
          </w:tcPr>
          <w:p w14:paraId="7CF3AB40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950" w:type="dxa"/>
            <w:gridSpan w:val="2"/>
          </w:tcPr>
          <w:p w14:paraId="7CF3AB41" w14:textId="77777777" w:rsidR="00573943" w:rsidRPr="00A405CA" w:rsidRDefault="00573943" w:rsidP="007F01A4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 xml:space="preserve">Responsable de comercialización </w:t>
            </w:r>
            <w:r w:rsidRPr="00A405CA">
              <w:rPr>
                <w:rFonts w:ascii="Arial" w:hAnsi="Arial" w:cs="Arial"/>
                <w:sz w:val="12"/>
                <w:lang w:val="es-CO"/>
              </w:rPr>
              <w:t>(en</w:t>
            </w:r>
            <w:r w:rsidR="007F01A4" w:rsidRPr="00A405CA">
              <w:rPr>
                <w:rFonts w:ascii="Arial" w:hAnsi="Arial" w:cs="Arial"/>
                <w:sz w:val="12"/>
                <w:lang w:val="es-CO"/>
              </w:rPr>
              <w:t xml:space="preserve"> caso de</w:t>
            </w:r>
            <w:r w:rsidRPr="00A405CA">
              <w:rPr>
                <w:rFonts w:ascii="Arial" w:hAnsi="Arial" w:cs="Arial"/>
                <w:sz w:val="12"/>
                <w:lang w:val="es-CO"/>
              </w:rPr>
              <w:t xml:space="preserve"> Notificación Sanitaria Obligatoria Invima)</w:t>
            </w:r>
          </w:p>
        </w:tc>
        <w:tc>
          <w:tcPr>
            <w:tcW w:w="386" w:type="dxa"/>
          </w:tcPr>
          <w:p w14:paraId="7CF3AB42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573943" w:rsidRPr="005E6E0E" w14:paraId="7CF3AB45" w14:textId="77777777" w:rsidTr="00D52BEF">
        <w:trPr>
          <w:jc w:val="center"/>
        </w:trPr>
        <w:tc>
          <w:tcPr>
            <w:tcW w:w="9584" w:type="dxa"/>
            <w:gridSpan w:val="13"/>
          </w:tcPr>
          <w:p w14:paraId="7CF3AB44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Dirección del emisor:</w:t>
            </w:r>
          </w:p>
        </w:tc>
        <w:bookmarkStart w:id="0" w:name="_GoBack"/>
        <w:bookmarkEnd w:id="0"/>
      </w:tr>
      <w:tr w:rsidR="005E6E0E" w:rsidRPr="005E6E0E" w14:paraId="7CF3AB48" w14:textId="77777777" w:rsidTr="00D52BEF">
        <w:trPr>
          <w:jc w:val="center"/>
        </w:trPr>
        <w:tc>
          <w:tcPr>
            <w:tcW w:w="5187" w:type="dxa"/>
            <w:gridSpan w:val="5"/>
          </w:tcPr>
          <w:p w14:paraId="7CF3AB46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Domicilio del emisor:</w:t>
            </w:r>
          </w:p>
        </w:tc>
        <w:tc>
          <w:tcPr>
            <w:tcW w:w="4397" w:type="dxa"/>
            <w:gridSpan w:val="8"/>
          </w:tcPr>
          <w:p w14:paraId="7CF3AB47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 xml:space="preserve">Departamento: </w:t>
            </w:r>
          </w:p>
        </w:tc>
      </w:tr>
      <w:tr w:rsidR="00573943" w:rsidRPr="005E6E0E" w14:paraId="7CF3AB4A" w14:textId="77777777" w:rsidTr="00D52BEF">
        <w:trPr>
          <w:jc w:val="center"/>
        </w:trPr>
        <w:tc>
          <w:tcPr>
            <w:tcW w:w="9584" w:type="dxa"/>
            <w:gridSpan w:val="13"/>
          </w:tcPr>
          <w:p w14:paraId="7CF3AB49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Objeto de la declaración (Nombre del producto)</w:t>
            </w:r>
            <w:r w:rsidR="00C76277" w:rsidRPr="00A405CA">
              <w:rPr>
                <w:rFonts w:ascii="Arial" w:hAnsi="Arial" w:cs="Arial"/>
                <w:sz w:val="18"/>
                <w:lang w:val="es-CO"/>
              </w:rPr>
              <w:t>:</w:t>
            </w:r>
          </w:p>
        </w:tc>
      </w:tr>
      <w:tr w:rsidR="0035291F" w:rsidRPr="005E6E0E" w14:paraId="7CF3AB4C" w14:textId="77777777" w:rsidTr="00D52BEF">
        <w:trPr>
          <w:jc w:val="center"/>
        </w:trPr>
        <w:tc>
          <w:tcPr>
            <w:tcW w:w="9584" w:type="dxa"/>
            <w:gridSpan w:val="13"/>
          </w:tcPr>
          <w:p w14:paraId="7CF3AB4B" w14:textId="77777777" w:rsidR="0035291F" w:rsidRPr="00A405CA" w:rsidRDefault="0035291F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No Lote (s) a fabricar, importar y/o comercializar:</w:t>
            </w:r>
            <w:r w:rsidRPr="00A405CA">
              <w:rPr>
                <w:rFonts w:ascii="Arial" w:hAnsi="Arial" w:cs="Arial"/>
                <w:sz w:val="14"/>
                <w:lang w:val="es-CO"/>
              </w:rPr>
              <w:t xml:space="preserve"> </w:t>
            </w:r>
          </w:p>
        </w:tc>
      </w:tr>
      <w:tr w:rsidR="00573943" w:rsidRPr="005E6E0E" w14:paraId="7CF3AB4E" w14:textId="77777777" w:rsidTr="00D52BEF">
        <w:trPr>
          <w:jc w:val="center"/>
        </w:trPr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7CF3AB4D" w14:textId="77777777" w:rsidR="00573943" w:rsidRPr="00A405CA" w:rsidRDefault="00573943" w:rsidP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Tipo de producto según definición del reglamento técnico (marque con una “X” según corresponda):</w:t>
            </w:r>
          </w:p>
        </w:tc>
      </w:tr>
      <w:tr w:rsidR="000A482A" w:rsidRPr="005E6E0E" w14:paraId="7CF3AB55" w14:textId="77777777" w:rsidTr="00D52BEF">
        <w:trPr>
          <w:jc w:val="center"/>
        </w:trPr>
        <w:tc>
          <w:tcPr>
            <w:tcW w:w="4987" w:type="dxa"/>
            <w:gridSpan w:val="4"/>
            <w:tcBorders>
              <w:bottom w:val="single" w:sz="4" w:space="0" w:color="auto"/>
            </w:tcBorders>
          </w:tcPr>
          <w:p w14:paraId="7CF3AB4F" w14:textId="77777777" w:rsidR="007D2B0D" w:rsidRPr="00A405CA" w:rsidRDefault="00573943" w:rsidP="007D2B0D">
            <w:pPr>
              <w:jc w:val="both"/>
              <w:rPr>
                <w:rFonts w:ascii="Arial" w:hAnsi="Arial" w:cs="Arial"/>
                <w:sz w:val="18"/>
                <w:szCs w:val="20"/>
                <w:lang w:val="es-CO"/>
              </w:rPr>
            </w:pPr>
            <w:r w:rsidRPr="00A405CA">
              <w:rPr>
                <w:rFonts w:ascii="Arial" w:hAnsi="Arial" w:cs="Arial"/>
                <w:sz w:val="18"/>
                <w:szCs w:val="20"/>
                <w:lang w:val="es-CO"/>
              </w:rPr>
              <w:t xml:space="preserve">Jabón </w:t>
            </w:r>
          </w:p>
          <w:p w14:paraId="7CF3AB50" w14:textId="77777777" w:rsidR="00573943" w:rsidRPr="00A405CA" w:rsidRDefault="007D2B0D" w:rsidP="007D2B0D">
            <w:pPr>
              <w:jc w:val="both"/>
              <w:rPr>
                <w:rFonts w:ascii="Arial" w:hAnsi="Arial" w:cs="Arial"/>
                <w:sz w:val="18"/>
                <w:szCs w:val="20"/>
                <w:lang w:val="es-CO"/>
              </w:rPr>
            </w:pPr>
            <w:r w:rsidRPr="00A405CA">
              <w:rPr>
                <w:rFonts w:ascii="Arial" w:hAnsi="Arial" w:cs="Arial"/>
                <w:sz w:val="12"/>
                <w:szCs w:val="20"/>
                <w:lang w:val="es-CO"/>
              </w:rPr>
              <w:t>(</w:t>
            </w:r>
            <w:r w:rsidRPr="00A405CA">
              <w:rPr>
                <w:rFonts w:ascii="Arial" w:hAnsi="Arial" w:cs="Arial"/>
                <w:sz w:val="12"/>
                <w:szCs w:val="20"/>
                <w:shd w:val="clear" w:color="auto" w:fill="FFFFFF"/>
              </w:rPr>
              <w:t>Producto formado por la saponificación o neutralización de grasas, aceites, ceras, colofonias, o sus ácidos con bases orgánicas o inorgánicas.</w:t>
            </w:r>
            <w:r w:rsidRPr="00A405CA">
              <w:rPr>
                <w:rStyle w:val="apple-converted-space"/>
                <w:rFonts w:ascii="Arial" w:hAnsi="Arial" w:cs="Arial"/>
                <w:sz w:val="12"/>
                <w:szCs w:val="20"/>
                <w:shd w:val="clear" w:color="auto" w:fill="FFFFFF"/>
              </w:rPr>
              <w:t>)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CF3AB51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szCs w:val="20"/>
                <w:lang w:val="es-CO"/>
              </w:rPr>
            </w:pPr>
          </w:p>
        </w:tc>
        <w:tc>
          <w:tcPr>
            <w:tcW w:w="3975" w:type="dxa"/>
            <w:gridSpan w:val="6"/>
            <w:tcBorders>
              <w:bottom w:val="single" w:sz="4" w:space="0" w:color="auto"/>
            </w:tcBorders>
          </w:tcPr>
          <w:p w14:paraId="7CF3AB52" w14:textId="77777777" w:rsidR="007D2B0D" w:rsidRPr="00A405CA" w:rsidRDefault="00573943" w:rsidP="007D2B0D">
            <w:pPr>
              <w:jc w:val="both"/>
              <w:rPr>
                <w:rFonts w:ascii="Arial" w:hAnsi="Arial" w:cs="Arial"/>
                <w:sz w:val="18"/>
                <w:szCs w:val="20"/>
                <w:lang w:val="es-CO"/>
              </w:rPr>
            </w:pPr>
            <w:r w:rsidRPr="00A405CA">
              <w:rPr>
                <w:rFonts w:ascii="Arial" w:hAnsi="Arial" w:cs="Arial"/>
                <w:sz w:val="18"/>
                <w:szCs w:val="20"/>
                <w:lang w:val="es-CO"/>
              </w:rPr>
              <w:t>Detergente</w:t>
            </w:r>
            <w:r w:rsidR="007D2B0D" w:rsidRPr="00A405CA">
              <w:rPr>
                <w:rFonts w:ascii="Arial" w:hAnsi="Arial" w:cs="Arial"/>
                <w:sz w:val="18"/>
                <w:szCs w:val="20"/>
                <w:lang w:val="es-CO"/>
              </w:rPr>
              <w:t xml:space="preserve"> </w:t>
            </w:r>
          </w:p>
          <w:p w14:paraId="7CF3AB53" w14:textId="77777777" w:rsidR="00573943" w:rsidRPr="00A405CA" w:rsidRDefault="007D2B0D" w:rsidP="007D2B0D">
            <w:pPr>
              <w:jc w:val="both"/>
              <w:rPr>
                <w:rFonts w:ascii="Arial" w:hAnsi="Arial" w:cs="Arial"/>
                <w:sz w:val="18"/>
                <w:szCs w:val="20"/>
                <w:lang w:val="es-CO"/>
              </w:rPr>
            </w:pPr>
            <w:r w:rsidRPr="00A405CA">
              <w:rPr>
                <w:rFonts w:ascii="Arial" w:hAnsi="Arial" w:cs="Arial"/>
                <w:sz w:val="12"/>
                <w:szCs w:val="20"/>
                <w:lang w:val="es-CO"/>
              </w:rPr>
              <w:t>(</w:t>
            </w:r>
            <w:r w:rsidRPr="00A405CA">
              <w:rPr>
                <w:rFonts w:ascii="Arial" w:hAnsi="Arial" w:cs="Arial"/>
                <w:sz w:val="12"/>
                <w:szCs w:val="20"/>
                <w:shd w:val="clear" w:color="auto" w:fill="FFFFFF"/>
              </w:rPr>
              <w:t>Toda sustancia o preparado que contenga jabón u otros tensoactivos y que se utilicen en procesos de lavado con agua. Los detergentes podrán adoptar cualquier forma (líquido, polvos, pasta, barra, pastilla, formas moldeadas, entre otros) y estar destinados a su uso doméstico e institucional o industrial)</w:t>
            </w:r>
            <w:r w:rsidRPr="00A405CA">
              <w:rPr>
                <w:rStyle w:val="apple-converted-space"/>
                <w:rFonts w:ascii="Arial" w:hAnsi="Arial" w:cs="Arial"/>
                <w:sz w:val="12"/>
                <w:szCs w:val="20"/>
                <w:shd w:val="clear" w:color="auto" w:fill="FFFFFF"/>
              </w:rPr>
              <w:t> 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7CF3AB54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szCs w:val="20"/>
                <w:lang w:val="es-CO"/>
              </w:rPr>
            </w:pPr>
          </w:p>
        </w:tc>
      </w:tr>
      <w:tr w:rsidR="000A482A" w:rsidRPr="005E6E0E" w14:paraId="7CF3AB5E" w14:textId="77777777" w:rsidTr="00D52BE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AB56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AB57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AB58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AB59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AB5A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AB5B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AB5C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AB5D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573943" w:rsidRPr="005E6E0E" w14:paraId="7CF3AB61" w14:textId="77777777" w:rsidTr="00D52BEF">
        <w:trPr>
          <w:trHeight w:val="1559"/>
          <w:jc w:val="center"/>
        </w:trPr>
        <w:tc>
          <w:tcPr>
            <w:tcW w:w="9584" w:type="dxa"/>
            <w:gridSpan w:val="13"/>
            <w:tcBorders>
              <w:top w:val="single" w:sz="4" w:space="0" w:color="auto"/>
            </w:tcBorders>
          </w:tcPr>
          <w:p w14:paraId="7CF3AB5F" w14:textId="77777777" w:rsidR="00130C38" w:rsidRPr="00A405CA" w:rsidRDefault="00573943" w:rsidP="00C76277">
            <w:pPr>
              <w:spacing w:before="240"/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El producto anteriormente descrito está en conformidad con los requisitos exigidos en la Resolución 0689 del 03 de mayo de 2016</w:t>
            </w:r>
            <w:r w:rsidR="00337A81" w:rsidRPr="00A405CA">
              <w:rPr>
                <w:rFonts w:ascii="Arial" w:hAnsi="Arial" w:cs="Arial"/>
                <w:sz w:val="18"/>
                <w:lang w:val="es-CO"/>
              </w:rPr>
              <w:t xml:space="preserve"> modificada parcialmente por la</w:t>
            </w:r>
            <w:r w:rsidR="00C76277" w:rsidRPr="00A405CA">
              <w:rPr>
                <w:rFonts w:ascii="Arial" w:hAnsi="Arial" w:cs="Arial"/>
                <w:sz w:val="18"/>
                <w:lang w:val="es-CO"/>
              </w:rPr>
              <w:t>s resoluciones 837 de 4 de mayo de 2017 y 1770 de 4 de m</w:t>
            </w:r>
            <w:r w:rsidR="00337A81" w:rsidRPr="00A405CA">
              <w:rPr>
                <w:rFonts w:ascii="Arial" w:hAnsi="Arial" w:cs="Arial"/>
                <w:sz w:val="18"/>
                <w:lang w:val="es-CO"/>
              </w:rPr>
              <w:t xml:space="preserve">ayo de 2018 </w:t>
            </w:r>
            <w:r w:rsidRPr="00A405CA">
              <w:rPr>
                <w:rFonts w:ascii="Arial" w:hAnsi="Arial" w:cs="Arial"/>
                <w:sz w:val="18"/>
                <w:lang w:val="es-CO"/>
              </w:rPr>
              <w:t>"</w:t>
            </w:r>
            <w:r w:rsidRPr="00A405CA">
              <w:rPr>
                <w:rFonts w:ascii="Arial" w:hAnsi="Arial" w:cs="Arial"/>
                <w:i/>
                <w:sz w:val="18"/>
                <w:lang w:val="es-CO"/>
              </w:rPr>
              <w:t>Por la cual se adopta el reglamento técnico que establece los límites máximos de fosforo y la biodegradabilidad de los tensoactivos presentes en detergentes y jabones, y se dictan otras disposiciones</w:t>
            </w:r>
            <w:r w:rsidRPr="00A405CA">
              <w:rPr>
                <w:rFonts w:ascii="Arial" w:hAnsi="Arial" w:cs="Arial"/>
                <w:sz w:val="18"/>
                <w:lang w:val="es-CO"/>
              </w:rPr>
              <w:t>" acorde con</w:t>
            </w:r>
            <w:r w:rsidR="00130C38" w:rsidRPr="00A405CA">
              <w:rPr>
                <w:rFonts w:ascii="Arial" w:hAnsi="Arial" w:cs="Arial"/>
                <w:sz w:val="18"/>
                <w:lang w:val="es-CO"/>
              </w:rPr>
              <w:t>:</w:t>
            </w:r>
          </w:p>
          <w:p w14:paraId="7CF3AB60" w14:textId="77777777" w:rsidR="00824302" w:rsidRPr="00A405CA" w:rsidRDefault="00C76277" w:rsidP="00C76277">
            <w:pPr>
              <w:spacing w:before="240"/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 xml:space="preserve">(Marque con una “X” </w:t>
            </w:r>
            <w:r w:rsidR="00130C38" w:rsidRPr="00A405CA">
              <w:rPr>
                <w:rFonts w:ascii="Arial" w:hAnsi="Arial" w:cs="Arial"/>
                <w:sz w:val="18"/>
                <w:lang w:val="es-CO"/>
              </w:rPr>
              <w:t xml:space="preserve">las siguientes casillas </w:t>
            </w:r>
            <w:r w:rsidRPr="00A405CA">
              <w:rPr>
                <w:rFonts w:ascii="Arial" w:hAnsi="Arial" w:cs="Arial"/>
                <w:sz w:val="18"/>
                <w:lang w:val="es-CO"/>
              </w:rPr>
              <w:t>si cumple con lo exigido en los siguientes artículos del referido reglamento</w:t>
            </w:r>
            <w:r w:rsidR="00130C38" w:rsidRPr="00A405CA">
              <w:rPr>
                <w:rFonts w:ascii="Arial" w:hAnsi="Arial" w:cs="Arial"/>
                <w:sz w:val="18"/>
                <w:lang w:val="es-CO"/>
              </w:rPr>
              <w:t>)</w:t>
            </w:r>
          </w:p>
        </w:tc>
      </w:tr>
      <w:tr w:rsidR="005E6E0E" w:rsidRPr="005E6E0E" w14:paraId="7CF3AB64" w14:textId="77777777" w:rsidTr="00D52BEF">
        <w:trPr>
          <w:jc w:val="center"/>
        </w:trPr>
        <w:tc>
          <w:tcPr>
            <w:tcW w:w="9198" w:type="dxa"/>
            <w:gridSpan w:val="12"/>
            <w:tcBorders>
              <w:bottom w:val="single" w:sz="4" w:space="0" w:color="auto"/>
            </w:tcBorders>
          </w:tcPr>
          <w:p w14:paraId="7CF3AB62" w14:textId="77777777" w:rsidR="00573943" w:rsidRPr="00A405CA" w:rsidRDefault="00573943" w:rsidP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Artículo 5: Límites máxim</w:t>
            </w:r>
            <w:r w:rsidR="00337A81" w:rsidRPr="00A405CA">
              <w:rPr>
                <w:rFonts w:ascii="Arial" w:hAnsi="Arial" w:cs="Arial"/>
                <w:sz w:val="18"/>
                <w:lang w:val="es-CO"/>
              </w:rPr>
              <w:t>os permisibles de contenido de F</w:t>
            </w:r>
            <w:r w:rsidRPr="00A405CA">
              <w:rPr>
                <w:rFonts w:ascii="Arial" w:hAnsi="Arial" w:cs="Arial"/>
                <w:sz w:val="18"/>
                <w:lang w:val="es-CO"/>
              </w:rPr>
              <w:t>osforo.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7CF3AB63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5E6E0E" w:rsidRPr="005E6E0E" w14:paraId="7CF3AB67" w14:textId="77777777" w:rsidTr="00D52BEF">
        <w:trPr>
          <w:jc w:val="center"/>
        </w:trPr>
        <w:tc>
          <w:tcPr>
            <w:tcW w:w="9198" w:type="dxa"/>
            <w:gridSpan w:val="12"/>
            <w:tcBorders>
              <w:bottom w:val="single" w:sz="4" w:space="0" w:color="auto"/>
            </w:tcBorders>
          </w:tcPr>
          <w:p w14:paraId="7CF3AB65" w14:textId="77777777" w:rsidR="00573943" w:rsidRPr="00A405CA" w:rsidRDefault="00573943" w:rsidP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Artículo 6: Requisito de Biodegradabilidad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7CF3AB66" w14:textId="77777777" w:rsidR="00573943" w:rsidRPr="00A405CA" w:rsidRDefault="00573943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4A64C2" w:rsidRPr="005E6E0E" w14:paraId="7CF3AB6B" w14:textId="77777777" w:rsidTr="00D52BEF">
        <w:trPr>
          <w:jc w:val="center"/>
        </w:trPr>
        <w:tc>
          <w:tcPr>
            <w:tcW w:w="9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AB68" w14:textId="77777777" w:rsidR="004A64C2" w:rsidRPr="00A405CA" w:rsidRDefault="004A64C2">
            <w:pPr>
              <w:jc w:val="both"/>
              <w:rPr>
                <w:rFonts w:ascii="Arial" w:hAnsi="Arial" w:cs="Arial"/>
                <w:sz w:val="10"/>
                <w:lang w:val="es-CO"/>
              </w:rPr>
            </w:pPr>
          </w:p>
          <w:p w14:paraId="7CF3AB69" w14:textId="77777777" w:rsidR="004A64C2" w:rsidRPr="00A405CA" w:rsidRDefault="004A64C2" w:rsidP="004A64C2">
            <w:pPr>
              <w:jc w:val="both"/>
              <w:rPr>
                <w:rFonts w:ascii="Arial" w:hAnsi="Arial" w:cs="Arial"/>
                <w:b/>
                <w:sz w:val="18"/>
                <w:lang w:val="es-CO"/>
              </w:rPr>
            </w:pPr>
            <w:r w:rsidRPr="00A405CA">
              <w:rPr>
                <w:rFonts w:ascii="Arial" w:hAnsi="Arial" w:cs="Arial"/>
                <w:b/>
                <w:sz w:val="18"/>
                <w:lang w:val="es-CO"/>
              </w:rPr>
              <w:t>Información adicional</w:t>
            </w:r>
          </w:p>
          <w:p w14:paraId="7CF3AB6A" w14:textId="77777777" w:rsidR="004A64C2" w:rsidRPr="00A405CA" w:rsidRDefault="004A64C2">
            <w:pPr>
              <w:jc w:val="both"/>
              <w:rPr>
                <w:rFonts w:ascii="Arial" w:hAnsi="Arial" w:cs="Arial"/>
                <w:sz w:val="10"/>
                <w:lang w:val="es-CO"/>
              </w:rPr>
            </w:pPr>
          </w:p>
        </w:tc>
      </w:tr>
      <w:tr w:rsidR="00053002" w:rsidRPr="005E6E0E" w14:paraId="7CF3AB6D" w14:textId="77777777" w:rsidTr="00D52BEF">
        <w:trPr>
          <w:jc w:val="center"/>
        </w:trPr>
        <w:tc>
          <w:tcPr>
            <w:tcW w:w="9584" w:type="dxa"/>
            <w:gridSpan w:val="13"/>
            <w:tcBorders>
              <w:top w:val="single" w:sz="4" w:space="0" w:color="auto"/>
            </w:tcBorders>
          </w:tcPr>
          <w:p w14:paraId="7CF3AB6C" w14:textId="77777777" w:rsidR="00053002" w:rsidRPr="00A405CA" w:rsidRDefault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Diligencie:</w:t>
            </w:r>
          </w:p>
        </w:tc>
      </w:tr>
      <w:tr w:rsidR="00C76277" w:rsidRPr="005E6E0E" w14:paraId="7CF3AB6F" w14:textId="77777777" w:rsidTr="00D52BEF">
        <w:trPr>
          <w:jc w:val="center"/>
        </w:trPr>
        <w:tc>
          <w:tcPr>
            <w:tcW w:w="9584" w:type="dxa"/>
            <w:gridSpan w:val="13"/>
            <w:tcBorders>
              <w:top w:val="single" w:sz="4" w:space="0" w:color="auto"/>
            </w:tcBorders>
          </w:tcPr>
          <w:p w14:paraId="7CF3AB6E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 xml:space="preserve">Para Límites máximos permisibles de contenido de fósforo </w:t>
            </w:r>
          </w:p>
        </w:tc>
      </w:tr>
      <w:tr w:rsidR="0035291F" w:rsidRPr="005E6E0E" w14:paraId="7CF3AB78" w14:textId="77777777" w:rsidTr="0035291F">
        <w:trPr>
          <w:trHeight w:val="508"/>
          <w:jc w:val="center"/>
        </w:trPr>
        <w:tc>
          <w:tcPr>
            <w:tcW w:w="2122" w:type="dxa"/>
          </w:tcPr>
          <w:p w14:paraId="7CF3AB70" w14:textId="77777777" w:rsidR="0035291F" w:rsidRPr="00A405CA" w:rsidRDefault="0035291F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  <w:r w:rsidRPr="00A405CA">
              <w:rPr>
                <w:rFonts w:ascii="Arial" w:hAnsi="Arial" w:cs="Arial"/>
                <w:sz w:val="14"/>
                <w:lang w:val="es-CO"/>
              </w:rPr>
              <w:t xml:space="preserve">Ensayo analítico No. </w:t>
            </w:r>
          </w:p>
        </w:tc>
        <w:tc>
          <w:tcPr>
            <w:tcW w:w="1318" w:type="dxa"/>
          </w:tcPr>
          <w:p w14:paraId="7CF3AB71" w14:textId="77777777" w:rsidR="0035291F" w:rsidRPr="00A405CA" w:rsidRDefault="0035291F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</w:p>
        </w:tc>
        <w:tc>
          <w:tcPr>
            <w:tcW w:w="851" w:type="dxa"/>
          </w:tcPr>
          <w:p w14:paraId="7CF3AB72" w14:textId="77777777" w:rsidR="0035291F" w:rsidRPr="00A405CA" w:rsidRDefault="0035291F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  <w:r w:rsidRPr="00A405CA">
              <w:rPr>
                <w:rFonts w:ascii="Arial" w:hAnsi="Arial" w:cs="Arial"/>
                <w:sz w:val="14"/>
                <w:lang w:val="es-CO"/>
              </w:rPr>
              <w:t>Método empleado</w:t>
            </w:r>
          </w:p>
        </w:tc>
        <w:tc>
          <w:tcPr>
            <w:tcW w:w="896" w:type="dxa"/>
            <w:gridSpan w:val="2"/>
          </w:tcPr>
          <w:p w14:paraId="7CF3AB73" w14:textId="77777777" w:rsidR="0035291F" w:rsidRPr="00A405CA" w:rsidRDefault="0035291F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</w:p>
        </w:tc>
        <w:tc>
          <w:tcPr>
            <w:tcW w:w="1134" w:type="dxa"/>
            <w:gridSpan w:val="3"/>
          </w:tcPr>
          <w:p w14:paraId="7CF3AB74" w14:textId="77777777" w:rsidR="0035291F" w:rsidRPr="00A405CA" w:rsidRDefault="0035291F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  <w:r w:rsidRPr="00A405CA">
              <w:rPr>
                <w:rFonts w:ascii="Arial" w:hAnsi="Arial" w:cs="Arial"/>
                <w:sz w:val="14"/>
                <w:lang w:val="es-CO"/>
              </w:rPr>
              <w:t>Folios adjuntos a esta declaración</w:t>
            </w:r>
          </w:p>
        </w:tc>
        <w:tc>
          <w:tcPr>
            <w:tcW w:w="518" w:type="dxa"/>
          </w:tcPr>
          <w:p w14:paraId="7CF3AB75" w14:textId="77777777" w:rsidR="0035291F" w:rsidRPr="00A405CA" w:rsidRDefault="0035291F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</w:p>
        </w:tc>
        <w:tc>
          <w:tcPr>
            <w:tcW w:w="1134" w:type="dxa"/>
            <w:gridSpan w:val="2"/>
          </w:tcPr>
          <w:p w14:paraId="7CF3AB76" w14:textId="77777777" w:rsidR="0035291F" w:rsidRPr="00A405CA" w:rsidRDefault="0035291F" w:rsidP="0035291F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  <w:r w:rsidRPr="00A405CA">
              <w:rPr>
                <w:rFonts w:ascii="Arial" w:hAnsi="Arial" w:cs="Arial"/>
                <w:sz w:val="14"/>
                <w:lang w:val="es-CO"/>
              </w:rPr>
              <w:t>No Lote (s) analizado</w:t>
            </w:r>
          </w:p>
        </w:tc>
        <w:tc>
          <w:tcPr>
            <w:tcW w:w="1611" w:type="dxa"/>
            <w:gridSpan w:val="2"/>
          </w:tcPr>
          <w:p w14:paraId="7CF3AB77" w14:textId="77777777" w:rsidR="0035291F" w:rsidRPr="00A405CA" w:rsidRDefault="0035291F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</w:p>
        </w:tc>
      </w:tr>
      <w:tr w:rsidR="00C76277" w:rsidRPr="005E6E0E" w14:paraId="7CF3AB7A" w14:textId="77777777" w:rsidTr="00D52BEF">
        <w:trPr>
          <w:jc w:val="center"/>
        </w:trPr>
        <w:tc>
          <w:tcPr>
            <w:tcW w:w="9584" w:type="dxa"/>
            <w:gridSpan w:val="13"/>
            <w:tcBorders>
              <w:top w:val="single" w:sz="4" w:space="0" w:color="auto"/>
            </w:tcBorders>
          </w:tcPr>
          <w:p w14:paraId="7CF3AB79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Para Biodegradabilidad:</w:t>
            </w:r>
          </w:p>
        </w:tc>
      </w:tr>
      <w:tr w:rsidR="00CB4BFD" w:rsidRPr="005E6E0E" w14:paraId="7CF3AB7C" w14:textId="77777777" w:rsidTr="00D52BEF">
        <w:trPr>
          <w:jc w:val="center"/>
        </w:trPr>
        <w:tc>
          <w:tcPr>
            <w:tcW w:w="9584" w:type="dxa"/>
            <w:gridSpan w:val="13"/>
            <w:tcBorders>
              <w:top w:val="single" w:sz="4" w:space="0" w:color="auto"/>
            </w:tcBorders>
          </w:tcPr>
          <w:p w14:paraId="7CF3AB7B" w14:textId="77777777" w:rsidR="00CB4BFD" w:rsidRPr="00A405CA" w:rsidRDefault="00FF1E51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 xml:space="preserve">Marque con una “X” </w:t>
            </w:r>
            <w:r w:rsidR="00CB4BFD" w:rsidRPr="00A405CA">
              <w:rPr>
                <w:rFonts w:ascii="Arial" w:hAnsi="Arial" w:cs="Arial"/>
                <w:sz w:val="18"/>
                <w:lang w:val="es-CO"/>
              </w:rPr>
              <w:t>según corresponda</w:t>
            </w:r>
            <w:r w:rsidR="00342680" w:rsidRPr="00A405CA">
              <w:rPr>
                <w:rFonts w:ascii="Arial" w:hAnsi="Arial" w:cs="Arial"/>
                <w:sz w:val="18"/>
                <w:lang w:val="es-CO"/>
              </w:rPr>
              <w:t>:</w:t>
            </w:r>
            <w:r w:rsidR="00342680" w:rsidRPr="00A405CA">
              <w:rPr>
                <w:rFonts w:ascii="Arial" w:hAnsi="Arial" w:cs="Arial"/>
                <w:sz w:val="14"/>
                <w:lang w:val="es-CO"/>
              </w:rPr>
              <w:t xml:space="preserve"> </w:t>
            </w:r>
          </w:p>
        </w:tc>
      </w:tr>
      <w:tr w:rsidR="00342680" w:rsidRPr="005E6E0E" w14:paraId="7CF3AB81" w14:textId="77777777" w:rsidTr="0085067B">
        <w:trPr>
          <w:jc w:val="center"/>
        </w:trPr>
        <w:tc>
          <w:tcPr>
            <w:tcW w:w="3440" w:type="dxa"/>
            <w:gridSpan w:val="2"/>
            <w:tcBorders>
              <w:top w:val="single" w:sz="4" w:space="0" w:color="auto"/>
            </w:tcBorders>
          </w:tcPr>
          <w:p w14:paraId="7CF3AB7D" w14:textId="77777777" w:rsidR="00342680" w:rsidRPr="00A405CA" w:rsidRDefault="00342680" w:rsidP="00CB4BFD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  <w:r w:rsidRPr="00A405CA">
              <w:rPr>
                <w:rFonts w:ascii="Arial" w:hAnsi="Arial" w:cs="Arial"/>
                <w:sz w:val="14"/>
                <w:lang w:val="es-CO"/>
              </w:rPr>
              <w:t xml:space="preserve">El No. lote analizado reportado corresponde al lote del producto terminado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F3AB7E" w14:textId="77777777" w:rsidR="00342680" w:rsidRPr="00A405CA" w:rsidRDefault="00342680" w:rsidP="00CB4BFD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</w:p>
        </w:tc>
        <w:tc>
          <w:tcPr>
            <w:tcW w:w="3682" w:type="dxa"/>
            <w:gridSpan w:val="8"/>
            <w:tcBorders>
              <w:top w:val="single" w:sz="4" w:space="0" w:color="auto"/>
            </w:tcBorders>
          </w:tcPr>
          <w:p w14:paraId="7CF3AB7F" w14:textId="77777777" w:rsidR="00342680" w:rsidRPr="00A405CA" w:rsidRDefault="00342680" w:rsidP="00CB4BFD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4"/>
                <w:lang w:val="es-CO"/>
              </w:rPr>
              <w:t xml:space="preserve">El No. lote analizado reportado corresponde al lote del agente tensoactivo 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</w:tcBorders>
          </w:tcPr>
          <w:p w14:paraId="7CF3AB80" w14:textId="77777777" w:rsidR="00342680" w:rsidRPr="00A405CA" w:rsidRDefault="00342680" w:rsidP="00CB4BFD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CB4BFD" w:rsidRPr="005E6E0E" w14:paraId="7CF3AB8A" w14:textId="77777777" w:rsidTr="001F581B">
        <w:trPr>
          <w:trHeight w:val="666"/>
          <w:jc w:val="center"/>
        </w:trPr>
        <w:tc>
          <w:tcPr>
            <w:tcW w:w="2122" w:type="dxa"/>
          </w:tcPr>
          <w:p w14:paraId="7CF3AB82" w14:textId="77777777" w:rsidR="00CB4BFD" w:rsidRPr="00A405CA" w:rsidRDefault="00CB4BFD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  <w:r w:rsidRPr="00A405CA">
              <w:rPr>
                <w:rFonts w:ascii="Arial" w:hAnsi="Arial" w:cs="Arial"/>
                <w:sz w:val="14"/>
                <w:lang w:val="es-CO"/>
              </w:rPr>
              <w:t xml:space="preserve">Ensayo analítico No. </w:t>
            </w:r>
          </w:p>
        </w:tc>
        <w:tc>
          <w:tcPr>
            <w:tcW w:w="1318" w:type="dxa"/>
          </w:tcPr>
          <w:p w14:paraId="7CF3AB83" w14:textId="77777777" w:rsidR="00CB4BFD" w:rsidRPr="00A405CA" w:rsidRDefault="00CB4BFD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</w:p>
        </w:tc>
        <w:tc>
          <w:tcPr>
            <w:tcW w:w="851" w:type="dxa"/>
          </w:tcPr>
          <w:p w14:paraId="7CF3AB84" w14:textId="77777777" w:rsidR="00CB4BFD" w:rsidRPr="00A405CA" w:rsidRDefault="00CB4BFD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  <w:r w:rsidRPr="00A405CA">
              <w:rPr>
                <w:rFonts w:ascii="Arial" w:hAnsi="Arial" w:cs="Arial"/>
                <w:sz w:val="14"/>
                <w:lang w:val="es-CO"/>
              </w:rPr>
              <w:t>Método empleado</w:t>
            </w:r>
          </w:p>
        </w:tc>
        <w:tc>
          <w:tcPr>
            <w:tcW w:w="896" w:type="dxa"/>
            <w:gridSpan w:val="2"/>
          </w:tcPr>
          <w:p w14:paraId="7CF3AB85" w14:textId="77777777" w:rsidR="00CB4BFD" w:rsidRPr="00A405CA" w:rsidRDefault="00CB4BFD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</w:p>
        </w:tc>
        <w:tc>
          <w:tcPr>
            <w:tcW w:w="1134" w:type="dxa"/>
            <w:gridSpan w:val="3"/>
          </w:tcPr>
          <w:p w14:paraId="7CF3AB86" w14:textId="77777777" w:rsidR="00CB4BFD" w:rsidRPr="00A405CA" w:rsidRDefault="00CB4BFD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  <w:r w:rsidRPr="00A405CA">
              <w:rPr>
                <w:rFonts w:ascii="Arial" w:hAnsi="Arial" w:cs="Arial"/>
                <w:sz w:val="14"/>
                <w:lang w:val="es-CO"/>
              </w:rPr>
              <w:t>Folios adjuntos a esta declaración</w:t>
            </w:r>
          </w:p>
        </w:tc>
        <w:tc>
          <w:tcPr>
            <w:tcW w:w="518" w:type="dxa"/>
          </w:tcPr>
          <w:p w14:paraId="7CF3AB87" w14:textId="77777777" w:rsidR="00CB4BFD" w:rsidRPr="00A405CA" w:rsidRDefault="00CB4BFD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</w:p>
        </w:tc>
        <w:tc>
          <w:tcPr>
            <w:tcW w:w="1134" w:type="dxa"/>
            <w:gridSpan w:val="2"/>
          </w:tcPr>
          <w:p w14:paraId="7CF3AB88" w14:textId="77777777" w:rsidR="00CB4BFD" w:rsidRPr="00A405CA" w:rsidRDefault="00CB4BFD" w:rsidP="0035291F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  <w:r w:rsidRPr="00A405CA">
              <w:rPr>
                <w:rFonts w:ascii="Arial" w:hAnsi="Arial" w:cs="Arial"/>
                <w:sz w:val="14"/>
                <w:lang w:val="es-CO"/>
              </w:rPr>
              <w:t>No Lote (s) analizado</w:t>
            </w:r>
          </w:p>
        </w:tc>
        <w:tc>
          <w:tcPr>
            <w:tcW w:w="1611" w:type="dxa"/>
            <w:gridSpan w:val="2"/>
          </w:tcPr>
          <w:p w14:paraId="7CF3AB89" w14:textId="77777777" w:rsidR="00CB4BFD" w:rsidRPr="00A405CA" w:rsidRDefault="00CB4BFD" w:rsidP="00C76277">
            <w:pPr>
              <w:jc w:val="both"/>
              <w:rPr>
                <w:rFonts w:ascii="Arial" w:hAnsi="Arial" w:cs="Arial"/>
                <w:sz w:val="14"/>
                <w:lang w:val="es-CO"/>
              </w:rPr>
            </w:pPr>
          </w:p>
        </w:tc>
      </w:tr>
      <w:tr w:rsidR="00C76277" w:rsidRPr="005E6E0E" w14:paraId="7CF3AB8D" w14:textId="77777777" w:rsidTr="00D52BEF">
        <w:trPr>
          <w:jc w:val="center"/>
        </w:trPr>
        <w:tc>
          <w:tcPr>
            <w:tcW w:w="958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3AB8B" w14:textId="77777777" w:rsidR="005E6E0E" w:rsidRPr="00A405CA" w:rsidRDefault="00C76277" w:rsidP="00C76277">
            <w:pPr>
              <w:jc w:val="both"/>
              <w:rPr>
                <w:rFonts w:ascii="Arial" w:hAnsi="Arial" w:cs="Arial"/>
                <w:sz w:val="12"/>
                <w:lang w:val="es-CO"/>
              </w:rPr>
            </w:pPr>
            <w:r w:rsidRPr="00A405CA">
              <w:rPr>
                <w:rFonts w:ascii="Arial" w:hAnsi="Arial" w:cs="Arial"/>
                <w:b/>
                <w:sz w:val="12"/>
                <w:u w:val="single"/>
                <w:lang w:val="es-CO"/>
              </w:rPr>
              <w:t>NOTA 1:</w:t>
            </w:r>
            <w:r w:rsidRPr="00A405CA">
              <w:rPr>
                <w:rFonts w:ascii="Arial" w:hAnsi="Arial" w:cs="Arial"/>
                <w:b/>
                <w:sz w:val="12"/>
                <w:lang w:val="es-CO"/>
              </w:rPr>
              <w:t xml:space="preserve"> </w:t>
            </w:r>
            <w:r w:rsidRPr="00A405CA">
              <w:rPr>
                <w:rFonts w:ascii="Arial" w:hAnsi="Arial" w:cs="Arial"/>
                <w:sz w:val="12"/>
                <w:lang w:val="es-CO"/>
              </w:rPr>
              <w:t xml:space="preserve">Ver parágrafo del </w:t>
            </w:r>
            <w:r w:rsidR="00741711" w:rsidRPr="00A405CA">
              <w:rPr>
                <w:rFonts w:ascii="Arial" w:hAnsi="Arial" w:cs="Arial"/>
                <w:sz w:val="12"/>
                <w:lang w:val="es-CO"/>
              </w:rPr>
              <w:t>Artículo</w:t>
            </w:r>
            <w:r w:rsidRPr="00A405CA">
              <w:rPr>
                <w:rFonts w:ascii="Arial" w:hAnsi="Arial" w:cs="Arial"/>
                <w:sz w:val="12"/>
                <w:lang w:val="es-CO"/>
              </w:rPr>
              <w:t xml:space="preserve"> 7 de la Resolución 689 de 2016 modificado por el Articulo 2 de la Resolución 1770 de 2018: Los resultados del ensayo que se utilicen como documentos soporte de declaración de conformidad de primera parte deberán indicar el resultado analítico obtenido, con su respectiva incertidumbre y especificar el límite de cuantificación establecido para el proceso analítico</w:t>
            </w:r>
            <w:r w:rsidR="005E6E0E" w:rsidRPr="00A405CA">
              <w:rPr>
                <w:rFonts w:ascii="Arial" w:hAnsi="Arial" w:cs="Arial"/>
                <w:sz w:val="12"/>
                <w:lang w:val="es-CO"/>
              </w:rPr>
              <w:t xml:space="preserve">. </w:t>
            </w:r>
            <w:r w:rsidR="00CC0457" w:rsidRPr="00A405CA">
              <w:rPr>
                <w:rFonts w:ascii="Arial" w:hAnsi="Arial" w:cs="Arial"/>
                <w:sz w:val="12"/>
                <w:lang w:val="es-CO"/>
              </w:rPr>
              <w:t xml:space="preserve">Adicionalmente, en cuánto a biodegradabilidad, en caso de que el ensayo se realice sobre el producto terminado, es necesario que el análisis informe si se llevó a cabo la extracción del tensoactivo. </w:t>
            </w:r>
          </w:p>
          <w:p w14:paraId="7CF3AB8C" w14:textId="77777777" w:rsidR="00F35654" w:rsidRPr="00A405CA" w:rsidRDefault="000A482A" w:rsidP="005E6E0E">
            <w:pPr>
              <w:jc w:val="both"/>
              <w:rPr>
                <w:rFonts w:ascii="Arial" w:hAnsi="Arial" w:cs="Arial"/>
                <w:sz w:val="12"/>
                <w:lang w:val="es-CO"/>
              </w:rPr>
            </w:pPr>
            <w:r w:rsidRPr="00A405CA">
              <w:rPr>
                <w:rFonts w:ascii="Arial" w:hAnsi="Arial" w:cs="Arial"/>
                <w:b/>
                <w:noProof/>
                <w:sz w:val="12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CF3AB9E" wp14:editId="7CF3AB9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495935</wp:posOffset>
                      </wp:positionV>
                      <wp:extent cx="5872480" cy="266700"/>
                      <wp:effectExtent l="0" t="0" r="13970" b="1905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248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3ABB9" w14:textId="77777777" w:rsidR="005E6E0E" w:rsidRPr="005E6E0E" w:rsidRDefault="005E6E0E" w:rsidP="000A482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lang w:val="es-CO"/>
                                    </w:rPr>
                                  </w:pPr>
                                  <w:r w:rsidRPr="005E6E0E">
                                    <w:rPr>
                                      <w:rFonts w:ascii="Arial" w:hAnsi="Arial" w:cs="Arial"/>
                                      <w:sz w:val="18"/>
                                      <w:lang w:val="es-CO"/>
                                    </w:rPr>
                                    <w:t>Observaciones</w:t>
                                  </w:r>
                                  <w:r w:rsidR="000A482A">
                                    <w:rPr>
                                      <w:rFonts w:ascii="Arial" w:hAnsi="Arial" w:cs="Arial"/>
                                      <w:sz w:val="18"/>
                                      <w:lang w:val="es-CO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3AB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.3pt;margin-top:39.05pt;width:462.4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">
                      <v:textbox>
                        <w:txbxContent>
                          <w:p w14:paraId="7CF3ABB9" w14:textId="77777777" w:rsidR="005E6E0E" w:rsidRPr="005E6E0E" w:rsidRDefault="005E6E0E" w:rsidP="000A482A">
                            <w:pPr>
                              <w:rPr>
                                <w:rFonts w:ascii="Arial" w:hAnsi="Arial" w:cs="Arial"/>
                                <w:sz w:val="18"/>
                                <w:lang w:val="es-CO"/>
                              </w:rPr>
                            </w:pPr>
                            <w:r w:rsidRPr="005E6E0E">
                              <w:rPr>
                                <w:rFonts w:ascii="Arial" w:hAnsi="Arial" w:cs="Arial"/>
                                <w:sz w:val="18"/>
                                <w:lang w:val="es-CO"/>
                              </w:rPr>
                              <w:t>Observaciones</w:t>
                            </w:r>
                            <w:r w:rsidR="000A482A">
                              <w:rPr>
                                <w:rFonts w:ascii="Arial" w:hAnsi="Arial" w:cs="Arial"/>
                                <w:sz w:val="18"/>
                                <w:lang w:val="es-CO"/>
                              </w:rPr>
                              <w:t xml:space="preserve">: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2BEF" w:rsidRPr="00A405CA">
              <w:rPr>
                <w:rFonts w:ascii="Arial" w:hAnsi="Arial" w:cs="Arial"/>
                <w:b/>
                <w:sz w:val="12"/>
                <w:u w:val="single"/>
                <w:lang w:val="es-CO"/>
              </w:rPr>
              <w:t>NOTA</w:t>
            </w:r>
            <w:r w:rsidR="005E6E0E" w:rsidRPr="00A405CA">
              <w:rPr>
                <w:rFonts w:ascii="Arial" w:hAnsi="Arial" w:cs="Arial"/>
                <w:b/>
                <w:sz w:val="12"/>
                <w:u w:val="single"/>
                <w:lang w:val="es-CO"/>
              </w:rPr>
              <w:t xml:space="preserve"> 2.</w:t>
            </w:r>
            <w:r w:rsidR="00C03160" w:rsidRPr="00A405CA">
              <w:rPr>
                <w:rFonts w:ascii="Arial" w:hAnsi="Arial" w:cs="Arial"/>
                <w:b/>
                <w:sz w:val="12"/>
                <w:u w:val="single"/>
                <w:lang w:val="es-CO"/>
              </w:rPr>
              <w:t>:</w:t>
            </w:r>
            <w:r w:rsidR="00C03160" w:rsidRPr="00A405CA">
              <w:rPr>
                <w:rFonts w:ascii="Arial" w:hAnsi="Arial" w:cs="Arial"/>
                <w:sz w:val="12"/>
                <w:lang w:val="es-CO"/>
              </w:rPr>
              <w:t xml:space="preserve"> En</w:t>
            </w:r>
            <w:r w:rsidR="005E6E0E" w:rsidRPr="00A405CA">
              <w:rPr>
                <w:rFonts w:ascii="Arial" w:hAnsi="Arial" w:cs="Arial"/>
                <w:sz w:val="12"/>
                <w:lang w:val="es-CO"/>
              </w:rPr>
              <w:t xml:space="preserve"> caso de </w:t>
            </w:r>
            <w:r w:rsidR="00CC0457" w:rsidRPr="00A405CA">
              <w:rPr>
                <w:rFonts w:ascii="Arial" w:hAnsi="Arial" w:cs="Arial"/>
                <w:sz w:val="12"/>
                <w:lang w:val="es-CO"/>
              </w:rPr>
              <w:t>manejar un alto volumen de l</w:t>
            </w:r>
            <w:r w:rsidR="005E6E0E" w:rsidRPr="00A405CA">
              <w:rPr>
                <w:rFonts w:ascii="Arial" w:hAnsi="Arial" w:cs="Arial"/>
                <w:sz w:val="12"/>
                <w:lang w:val="es-CO"/>
              </w:rPr>
              <w:t>ote</w:t>
            </w:r>
            <w:r w:rsidR="00CC0457" w:rsidRPr="00A405CA">
              <w:rPr>
                <w:rFonts w:ascii="Arial" w:hAnsi="Arial" w:cs="Arial"/>
                <w:sz w:val="12"/>
                <w:lang w:val="es-CO"/>
              </w:rPr>
              <w:t xml:space="preserve">s, la empresa podrá </w:t>
            </w:r>
            <w:r w:rsidR="005E6E0E" w:rsidRPr="00A405CA">
              <w:rPr>
                <w:rFonts w:ascii="Arial" w:hAnsi="Arial" w:cs="Arial"/>
                <w:sz w:val="12"/>
                <w:lang w:val="es-CO"/>
              </w:rPr>
              <w:t xml:space="preserve">en la casilla “observaciones” declarar que el producto no tendrá cambios en su composición química </w:t>
            </w:r>
            <w:r w:rsidR="00CC0457" w:rsidRPr="00A405CA">
              <w:rPr>
                <w:rFonts w:ascii="Arial" w:hAnsi="Arial" w:cs="Arial"/>
                <w:sz w:val="12"/>
                <w:lang w:val="es-CO"/>
              </w:rPr>
              <w:t>durante un</w:t>
            </w:r>
            <w:r w:rsidR="009E4FAD" w:rsidRPr="00A405CA">
              <w:rPr>
                <w:rFonts w:ascii="Arial" w:hAnsi="Arial" w:cs="Arial"/>
                <w:sz w:val="12"/>
                <w:lang w:val="es-CO"/>
              </w:rPr>
              <w:t xml:space="preserve"> </w:t>
            </w:r>
            <w:r w:rsidR="005E6E0E" w:rsidRPr="00A405CA">
              <w:rPr>
                <w:rFonts w:ascii="Arial" w:hAnsi="Arial" w:cs="Arial"/>
                <w:sz w:val="12"/>
                <w:lang w:val="es-CO"/>
              </w:rPr>
              <w:t>rango de tiempo específico</w:t>
            </w:r>
            <w:r w:rsidR="00CC0457" w:rsidRPr="00A405CA">
              <w:rPr>
                <w:rFonts w:ascii="Arial" w:hAnsi="Arial" w:cs="Arial"/>
                <w:sz w:val="12"/>
                <w:lang w:val="es-CO"/>
              </w:rPr>
              <w:t xml:space="preserve"> (ejemplo: 2 años, 5 años, etc.)</w:t>
            </w:r>
            <w:r w:rsidR="005E6E0E" w:rsidRPr="00A405CA">
              <w:rPr>
                <w:rFonts w:ascii="Arial" w:hAnsi="Arial" w:cs="Arial"/>
                <w:sz w:val="12"/>
                <w:lang w:val="es-CO"/>
              </w:rPr>
              <w:t xml:space="preserve"> de acuerdo con la proyección</w:t>
            </w:r>
            <w:r w:rsidR="00E80485" w:rsidRPr="00A405CA">
              <w:rPr>
                <w:rFonts w:ascii="Arial" w:hAnsi="Arial" w:cs="Arial"/>
                <w:sz w:val="12"/>
                <w:lang w:val="es-CO"/>
              </w:rPr>
              <w:t xml:space="preserve"> </w:t>
            </w:r>
            <w:r w:rsidR="005E6E0E" w:rsidRPr="00A405CA">
              <w:rPr>
                <w:rFonts w:ascii="Arial" w:hAnsi="Arial" w:cs="Arial"/>
                <w:sz w:val="12"/>
                <w:lang w:val="es-CO"/>
              </w:rPr>
              <w:t>de producción</w:t>
            </w:r>
            <w:r w:rsidR="009E4FAD" w:rsidRPr="00A405CA">
              <w:rPr>
                <w:rFonts w:ascii="Arial" w:hAnsi="Arial" w:cs="Arial"/>
                <w:sz w:val="12"/>
                <w:lang w:val="es-CO"/>
              </w:rPr>
              <w:t xml:space="preserve"> </w:t>
            </w:r>
            <w:r w:rsidR="000D3BAA" w:rsidRPr="00A405CA">
              <w:rPr>
                <w:rFonts w:ascii="Arial" w:hAnsi="Arial" w:cs="Arial"/>
                <w:sz w:val="12"/>
                <w:lang w:val="es-CO"/>
              </w:rPr>
              <w:t>adjuntando</w:t>
            </w:r>
            <w:r w:rsidR="005E6E0E" w:rsidRPr="00A405CA">
              <w:rPr>
                <w:rFonts w:ascii="Arial" w:hAnsi="Arial" w:cs="Arial"/>
                <w:sz w:val="12"/>
                <w:lang w:val="es-CO"/>
              </w:rPr>
              <w:t xml:space="preserve"> los soportes correspondientes</w:t>
            </w:r>
            <w:r w:rsidR="00CC0457" w:rsidRPr="00A405CA">
              <w:rPr>
                <w:rFonts w:ascii="Arial" w:hAnsi="Arial" w:cs="Arial"/>
                <w:sz w:val="12"/>
                <w:lang w:val="es-CO"/>
              </w:rPr>
              <w:t xml:space="preserve"> (ejemplo: certificación del fabricante)</w:t>
            </w:r>
            <w:r w:rsidR="00E80485" w:rsidRPr="00A405CA">
              <w:rPr>
                <w:rFonts w:ascii="Arial" w:hAnsi="Arial" w:cs="Arial"/>
                <w:sz w:val="12"/>
                <w:lang w:val="es-CO"/>
              </w:rPr>
              <w:t xml:space="preserve">, </w:t>
            </w:r>
            <w:r w:rsidR="00D52BEF" w:rsidRPr="00A405CA">
              <w:rPr>
                <w:rFonts w:ascii="Arial" w:hAnsi="Arial" w:cs="Arial"/>
                <w:sz w:val="12"/>
                <w:lang w:val="es-CO"/>
              </w:rPr>
              <w:t xml:space="preserve">igualmente, deberá </w:t>
            </w:r>
            <w:r w:rsidR="00E80485" w:rsidRPr="00A405CA">
              <w:rPr>
                <w:rFonts w:ascii="Arial" w:hAnsi="Arial" w:cs="Arial"/>
                <w:sz w:val="12"/>
                <w:lang w:val="es-CO"/>
              </w:rPr>
              <w:t>relacionar los lotes que pretende importar</w:t>
            </w:r>
            <w:r w:rsidR="00CC0457" w:rsidRPr="00A405CA">
              <w:rPr>
                <w:rFonts w:ascii="Arial" w:hAnsi="Arial" w:cs="Arial"/>
                <w:sz w:val="12"/>
                <w:lang w:val="es-CO"/>
              </w:rPr>
              <w:t xml:space="preserve"> en su registro inicial</w:t>
            </w:r>
            <w:r w:rsidR="00E80485" w:rsidRPr="00A405CA">
              <w:rPr>
                <w:rFonts w:ascii="Arial" w:hAnsi="Arial" w:cs="Arial"/>
                <w:sz w:val="12"/>
                <w:lang w:val="es-CO"/>
              </w:rPr>
              <w:t xml:space="preserve">. </w:t>
            </w:r>
            <w:r w:rsidR="005E6E0E" w:rsidRPr="00A405CA">
              <w:rPr>
                <w:rFonts w:ascii="Arial" w:hAnsi="Arial" w:cs="Arial"/>
                <w:sz w:val="12"/>
                <w:lang w:val="es-CO"/>
              </w:rPr>
              <w:t xml:space="preserve"> </w:t>
            </w:r>
            <w:r w:rsidR="00F35654" w:rsidRPr="00A405CA">
              <w:rPr>
                <w:rFonts w:ascii="Arial" w:hAnsi="Arial" w:cs="Arial"/>
                <w:sz w:val="12"/>
                <w:lang w:val="es-CO"/>
              </w:rPr>
              <w:t>Como documento soporte de la declaración de primera parte, deberán aportarse los resultados de ensayos de laboratorio conforme a lo establecido en el artículo 8 y a</w:t>
            </w:r>
            <w:r w:rsidR="00FF1E51" w:rsidRPr="00A405CA">
              <w:rPr>
                <w:rFonts w:ascii="Arial" w:hAnsi="Arial" w:cs="Arial"/>
                <w:sz w:val="12"/>
                <w:lang w:val="es-CO"/>
              </w:rPr>
              <w:t xml:space="preserve">rtículo 7 de la Resolución 0689 </w:t>
            </w:r>
            <w:r w:rsidR="00F35654" w:rsidRPr="00A405CA">
              <w:rPr>
                <w:rFonts w:ascii="Arial" w:hAnsi="Arial" w:cs="Arial"/>
                <w:sz w:val="12"/>
                <w:lang w:val="es-CO"/>
              </w:rPr>
              <w:t>de 2016 modificado por el artículo 2 de la Resolución 1770 de 2018</w:t>
            </w:r>
          </w:p>
        </w:tc>
      </w:tr>
      <w:tr w:rsidR="005E6E0E" w:rsidRPr="005E6E0E" w14:paraId="7CF3AB90" w14:textId="77777777" w:rsidTr="00D52BEF">
        <w:trPr>
          <w:jc w:val="center"/>
        </w:trPr>
        <w:tc>
          <w:tcPr>
            <w:tcW w:w="52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3AB8E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 xml:space="preserve">Firmado por: </w:t>
            </w:r>
          </w:p>
        </w:tc>
        <w:tc>
          <w:tcPr>
            <w:tcW w:w="43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3AB8F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Y en nombre de:</w:t>
            </w:r>
          </w:p>
        </w:tc>
      </w:tr>
      <w:tr w:rsidR="005E6E0E" w:rsidRPr="005E6E0E" w14:paraId="7CF3AB93" w14:textId="77777777" w:rsidTr="00D52BEF">
        <w:trPr>
          <w:trHeight w:val="268"/>
          <w:jc w:val="center"/>
        </w:trPr>
        <w:tc>
          <w:tcPr>
            <w:tcW w:w="52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B91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4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B92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C76277" w:rsidRPr="005E6E0E" w14:paraId="7CF3AB95" w14:textId="77777777" w:rsidTr="00D52BEF">
        <w:trPr>
          <w:jc w:val="center"/>
        </w:trPr>
        <w:tc>
          <w:tcPr>
            <w:tcW w:w="9584" w:type="dxa"/>
            <w:gridSpan w:val="13"/>
            <w:tcBorders>
              <w:top w:val="single" w:sz="4" w:space="0" w:color="auto"/>
            </w:tcBorders>
          </w:tcPr>
          <w:p w14:paraId="7CF3AB94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Nombres y Apellidos:</w:t>
            </w:r>
          </w:p>
        </w:tc>
      </w:tr>
      <w:tr w:rsidR="00C76277" w:rsidRPr="005E6E0E" w14:paraId="7CF3AB97" w14:textId="77777777" w:rsidTr="00D52BEF">
        <w:trPr>
          <w:jc w:val="center"/>
        </w:trPr>
        <w:tc>
          <w:tcPr>
            <w:tcW w:w="9584" w:type="dxa"/>
            <w:gridSpan w:val="13"/>
          </w:tcPr>
          <w:p w14:paraId="7CF3AB96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 xml:space="preserve">Cargo: </w:t>
            </w:r>
          </w:p>
        </w:tc>
      </w:tr>
      <w:tr w:rsidR="005E6E0E" w:rsidRPr="005E6E0E" w14:paraId="7CF3AB9C" w14:textId="77777777" w:rsidTr="00D52BEF">
        <w:trPr>
          <w:jc w:val="center"/>
        </w:trPr>
        <w:tc>
          <w:tcPr>
            <w:tcW w:w="5253" w:type="dxa"/>
            <w:gridSpan w:val="7"/>
          </w:tcPr>
          <w:p w14:paraId="7CF3AB98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>Lugar de emisión:</w:t>
            </w:r>
          </w:p>
          <w:p w14:paraId="7CF3AB99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4331" w:type="dxa"/>
            <w:gridSpan w:val="6"/>
          </w:tcPr>
          <w:p w14:paraId="7CF3AB9A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  <w:r w:rsidRPr="00A405CA">
              <w:rPr>
                <w:rFonts w:ascii="Arial" w:hAnsi="Arial" w:cs="Arial"/>
                <w:sz w:val="18"/>
                <w:lang w:val="es-CO"/>
              </w:rPr>
              <w:t xml:space="preserve">Fecha de emisión: </w:t>
            </w:r>
          </w:p>
          <w:p w14:paraId="7CF3AB9B" w14:textId="77777777" w:rsidR="00C76277" w:rsidRPr="00A405CA" w:rsidRDefault="00C76277" w:rsidP="00C76277">
            <w:pPr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</w:tbl>
    <w:p w14:paraId="7CF3AB9D" w14:textId="77777777" w:rsidR="008E09EC" w:rsidRPr="005E6E0E" w:rsidRDefault="008E09EC" w:rsidP="00D71BB1">
      <w:pPr>
        <w:jc w:val="both"/>
        <w:rPr>
          <w:rFonts w:ascii="Arial" w:hAnsi="Arial" w:cs="Arial"/>
          <w:b/>
          <w:sz w:val="12"/>
          <w:lang w:val="es-CO"/>
        </w:rPr>
      </w:pPr>
      <w:r w:rsidRPr="005E6E0E">
        <w:rPr>
          <w:rFonts w:ascii="Arial" w:hAnsi="Arial" w:cs="Arial"/>
          <w:b/>
          <w:sz w:val="12"/>
          <w:lang w:val="es-CO"/>
        </w:rPr>
        <w:t>Nota: El formato de declaración de conformidad sugerido por la ANLA, cumple con las especificaciones establecidas por la NTC ISO/IEC 17050 -1.</w:t>
      </w:r>
    </w:p>
    <w:sectPr w:rsidR="008E09EC" w:rsidRPr="005E6E0E" w:rsidSect="006E3C6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73053" w14:textId="77777777" w:rsidR="008B2A7E" w:rsidRDefault="008B2A7E" w:rsidP="00C04A2B">
      <w:r>
        <w:separator/>
      </w:r>
    </w:p>
  </w:endnote>
  <w:endnote w:type="continuationSeparator" w:id="0">
    <w:p w14:paraId="6E7C3D65" w14:textId="77777777" w:rsidR="008B2A7E" w:rsidRDefault="008B2A7E" w:rsidP="00C0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3ABB6" w14:textId="77777777" w:rsidR="00F227C0" w:rsidRPr="00951591" w:rsidRDefault="005D63BE" w:rsidP="00951591">
    <w:pPr>
      <w:pStyle w:val="Piedepgina"/>
      <w:rPr>
        <w:rFonts w:ascii="Calibri" w:hAnsi="Calibri" w:cs="Arial"/>
        <w:bCs/>
        <w:i/>
        <w:sz w:val="20"/>
      </w:rPr>
    </w:pPr>
    <w:r>
      <w:rPr>
        <w:rFonts w:ascii="Calibri" w:hAnsi="Calibri" w:cs="Arial"/>
        <w:bCs/>
        <w:i/>
        <w:sz w:val="20"/>
      </w:rPr>
      <w:t>SP-FO-07</w:t>
    </w:r>
    <w:r w:rsidR="00951591" w:rsidRPr="00951591">
      <w:rPr>
        <w:rFonts w:ascii="Calibri" w:hAnsi="Calibri" w:cs="Arial"/>
        <w:bCs/>
        <w:i/>
        <w:sz w:val="20"/>
      </w:rPr>
      <w:t xml:space="preserve"> -</w:t>
    </w:r>
    <w:r w:rsidR="004E2DB1">
      <w:rPr>
        <w:rFonts w:ascii="Calibri" w:hAnsi="Calibri" w:cs="Arial"/>
        <w:bCs/>
        <w:i/>
        <w:sz w:val="20"/>
      </w:rPr>
      <w:t xml:space="preserve"> Declaración de conformidad de primera parte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02A8" w14:textId="77777777" w:rsidR="008B2A7E" w:rsidRDefault="008B2A7E" w:rsidP="00C04A2B">
      <w:r>
        <w:separator/>
      </w:r>
    </w:p>
  </w:footnote>
  <w:footnote w:type="continuationSeparator" w:id="0">
    <w:p w14:paraId="42CED279" w14:textId="77777777" w:rsidR="008B2A7E" w:rsidRDefault="008B2A7E" w:rsidP="00C0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3ABA4" w14:textId="77777777" w:rsidR="00C04A2B" w:rsidRDefault="00C04A2B" w:rsidP="00C04A2B">
    <w:pPr>
      <w:pStyle w:val="Encabezado"/>
      <w:jc w:val="center"/>
      <w:rPr>
        <w:rFonts w:ascii="Arial" w:hAnsi="Arial" w:cs="Arial"/>
        <w:b/>
        <w:sz w:val="18"/>
      </w:rPr>
    </w:pPr>
  </w:p>
  <w:tbl>
    <w:tblPr>
      <w:tblW w:w="963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39"/>
    </w:tblGrid>
    <w:tr w:rsidR="00CF331C" w:rsidRPr="00E835B9" w14:paraId="7CF3ABA9" w14:textId="77777777" w:rsidTr="00CF331C">
      <w:trPr>
        <w:trHeight w:val="955"/>
      </w:trPr>
      <w:tc>
        <w:tcPr>
          <w:tcW w:w="9639" w:type="dxa"/>
          <w:shd w:val="clear" w:color="auto" w:fill="auto"/>
          <w:vAlign w:val="center"/>
          <w:hideMark/>
        </w:tcPr>
        <w:p w14:paraId="7CF3ABA8" w14:textId="4520EB27" w:rsidR="00CF331C" w:rsidRPr="00CF331C" w:rsidRDefault="00CF331C" w:rsidP="00FF1E51">
          <w:pPr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CF331C">
            <w:rPr>
              <w:rFonts w:ascii="Arial" w:hAnsi="Arial" w:cs="Arial"/>
              <w:b/>
              <w:sz w:val="20"/>
              <w:szCs w:val="20"/>
            </w:rPr>
            <w:t>DECLARACIÓN DE CONFORMIDAD DE PRIMERA PARTE</w:t>
          </w:r>
        </w:p>
      </w:tc>
    </w:tr>
  </w:tbl>
  <w:p w14:paraId="7CF3ABB4" w14:textId="77777777" w:rsidR="00C04A2B" w:rsidRDefault="00C04A2B" w:rsidP="00C04A2B">
    <w:pPr>
      <w:pStyle w:val="Encabezado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                                           </w:t>
    </w:r>
  </w:p>
  <w:p w14:paraId="7CF3ABB5" w14:textId="77777777" w:rsidR="00C04A2B" w:rsidRDefault="00C04A2B" w:rsidP="00C04A2B">
    <w:pPr>
      <w:pStyle w:val="Encabezado"/>
      <w:jc w:val="center"/>
      <w:rPr>
        <w:rFonts w:ascii="Arial" w:hAnsi="Arial" w:cs="Arial"/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30"/>
    <w:rsid w:val="00034D39"/>
    <w:rsid w:val="00044370"/>
    <w:rsid w:val="00053002"/>
    <w:rsid w:val="000A482A"/>
    <w:rsid w:val="000D3BAA"/>
    <w:rsid w:val="000D5B59"/>
    <w:rsid w:val="000F66B3"/>
    <w:rsid w:val="00130C38"/>
    <w:rsid w:val="001A4738"/>
    <w:rsid w:val="001B13DC"/>
    <w:rsid w:val="00220DF7"/>
    <w:rsid w:val="00250A6E"/>
    <w:rsid w:val="00260AFA"/>
    <w:rsid w:val="0027143A"/>
    <w:rsid w:val="00337A81"/>
    <w:rsid w:val="00342680"/>
    <w:rsid w:val="0035291F"/>
    <w:rsid w:val="003643C4"/>
    <w:rsid w:val="003A5C98"/>
    <w:rsid w:val="003E6832"/>
    <w:rsid w:val="00430273"/>
    <w:rsid w:val="00456DB2"/>
    <w:rsid w:val="00476683"/>
    <w:rsid w:val="004A64C2"/>
    <w:rsid w:val="004E2DB1"/>
    <w:rsid w:val="004E38DE"/>
    <w:rsid w:val="00561E43"/>
    <w:rsid w:val="00573943"/>
    <w:rsid w:val="005D63BE"/>
    <w:rsid w:val="005E194B"/>
    <w:rsid w:val="005E239C"/>
    <w:rsid w:val="005E6E0E"/>
    <w:rsid w:val="005F2C6F"/>
    <w:rsid w:val="00676BA7"/>
    <w:rsid w:val="006B559D"/>
    <w:rsid w:val="006E3C69"/>
    <w:rsid w:val="00712366"/>
    <w:rsid w:val="00741711"/>
    <w:rsid w:val="007D2B0D"/>
    <w:rsid w:val="007F01A4"/>
    <w:rsid w:val="00824302"/>
    <w:rsid w:val="00867702"/>
    <w:rsid w:val="00881D32"/>
    <w:rsid w:val="008A3379"/>
    <w:rsid w:val="008B2A7E"/>
    <w:rsid w:val="008E09EC"/>
    <w:rsid w:val="0091604A"/>
    <w:rsid w:val="00934D47"/>
    <w:rsid w:val="00951591"/>
    <w:rsid w:val="009C6BA8"/>
    <w:rsid w:val="009D262B"/>
    <w:rsid w:val="009E47AC"/>
    <w:rsid w:val="009E4FAD"/>
    <w:rsid w:val="00A405CA"/>
    <w:rsid w:val="00B26A35"/>
    <w:rsid w:val="00B73425"/>
    <w:rsid w:val="00B76774"/>
    <w:rsid w:val="00BC62C3"/>
    <w:rsid w:val="00BE08AE"/>
    <w:rsid w:val="00C03160"/>
    <w:rsid w:val="00C04A2B"/>
    <w:rsid w:val="00C67C34"/>
    <w:rsid w:val="00C76277"/>
    <w:rsid w:val="00CB4BFD"/>
    <w:rsid w:val="00CC0457"/>
    <w:rsid w:val="00CE62B5"/>
    <w:rsid w:val="00CF331C"/>
    <w:rsid w:val="00D52BEF"/>
    <w:rsid w:val="00D71BB1"/>
    <w:rsid w:val="00DA1A6A"/>
    <w:rsid w:val="00DC5D66"/>
    <w:rsid w:val="00DD10E8"/>
    <w:rsid w:val="00DD6595"/>
    <w:rsid w:val="00E05686"/>
    <w:rsid w:val="00E80485"/>
    <w:rsid w:val="00E82B60"/>
    <w:rsid w:val="00E85CD8"/>
    <w:rsid w:val="00E94C85"/>
    <w:rsid w:val="00EC0330"/>
    <w:rsid w:val="00F02C1C"/>
    <w:rsid w:val="00F227C0"/>
    <w:rsid w:val="00F268F9"/>
    <w:rsid w:val="00F31FFE"/>
    <w:rsid w:val="00F35654"/>
    <w:rsid w:val="00F711D4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3AB34"/>
  <w15:docId w15:val="{6DC619E1-9815-4C13-9791-393B12A0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C6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6E3C6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7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1,encabezado,Encabezado Car Car Car Car Car,Encabezado Car Car Car"/>
    <w:basedOn w:val="Normal"/>
    <w:link w:val="EncabezadoCar"/>
    <w:uiPriority w:val="99"/>
    <w:unhideWhenUsed/>
    <w:rsid w:val="00C04A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uiPriority w:val="99"/>
    <w:rsid w:val="00C04A2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04A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A2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4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4C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D2B0D"/>
  </w:style>
  <w:style w:type="paragraph" w:styleId="Prrafodelista">
    <w:name w:val="List Paragraph"/>
    <w:basedOn w:val="Normal"/>
    <w:uiPriority w:val="34"/>
    <w:qFormat/>
    <w:rsid w:val="00053002"/>
    <w:pPr>
      <w:ind w:left="720"/>
      <w:contextualSpacing/>
    </w:pPr>
  </w:style>
  <w:style w:type="paragraph" w:styleId="Sinespaciado">
    <w:name w:val="No Spacing"/>
    <w:uiPriority w:val="1"/>
    <w:qFormat/>
    <w:rsid w:val="005E6E0E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5E6E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CONFORMIDAD DEL PROVEEDOR No</vt:lpstr>
    </vt:vector>
  </TitlesOfParts>
  <Company>invima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CONFORMIDAD DEL PROVEEDOR No</dc:title>
  <dc:subject/>
  <dc:creator>jflorezo</dc:creator>
  <cp:keywords/>
  <cp:lastModifiedBy>Lidi Johanna Bayona Lopez</cp:lastModifiedBy>
  <cp:revision>3</cp:revision>
  <cp:lastPrinted>2016-10-18T20:13:00Z</cp:lastPrinted>
  <dcterms:created xsi:type="dcterms:W3CDTF">2022-02-25T17:52:00Z</dcterms:created>
  <dcterms:modified xsi:type="dcterms:W3CDTF">2023-01-17T15:28:00Z</dcterms:modified>
</cp:coreProperties>
</file>